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3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96" w:lineRule="exact"/>
        <w:rPr>
          <w:sz w:val="24"/>
          <w:szCs w:val="24"/>
          <w:color w:val="auto"/>
        </w:rPr>
      </w:pPr>
    </w:p>
    <w:p>
      <w:pPr>
        <w:jc w:val="center"/>
        <w:ind w:left="100" w:right="60"/>
        <w:spacing w:after="0" w:line="275" w:lineRule="auto"/>
        <w:rPr>
          <w:sz w:val="20"/>
          <w:szCs w:val="20"/>
          <w:color w:val="auto"/>
        </w:rPr>
      </w:pPr>
      <w:r>
        <w:rPr>
          <w:rFonts w:ascii="Times New Roman" w:cs="Times New Roman" w:eastAsia="Times New Roman" w:hAnsi="Times New Roman"/>
          <w:sz w:val="22"/>
          <w:szCs w:val="22"/>
          <w:b w:val="1"/>
          <w:bCs w:val="1"/>
          <w:color w:val="231F20"/>
        </w:rPr>
        <w:t>REPORT OF FOREIGN PRIVATE ISSUER PURSUANT TO RULE 13a-16 OR 15d-16 UNDER THE SECURITIES EXCHANGE ACT OF 1934</w:t>
      </w:r>
    </w:p>
    <w:p>
      <w:pPr>
        <w:spacing w:after="0" w:line="185"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231F20"/>
        </w:rPr>
        <w:t>For the month of February, 2026</w:t>
      </w:r>
    </w:p>
    <w:p>
      <w:pPr>
        <w:spacing w:after="0" w:line="22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231F20"/>
        </w:rPr>
        <w:t>Commission File Number: 1-13546</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9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231F20"/>
        </w:rPr>
        <w:t>___________________________________________________________________________________________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(Name of Registrant)</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color w:val="auto"/>
        </w:rPr>
        <w:t>WTC Schiphol Airport</w:t>
      </w:r>
    </w:p>
    <w:p>
      <w:pPr>
        <w:spacing w:after="0" w:line="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0"/>
          <w:szCs w:val="20"/>
          <w:color w:val="auto"/>
        </w:rPr>
        <w:t>Schiphol Boulevard 265</w:t>
      </w:r>
    </w:p>
    <w:p>
      <w:pPr>
        <w:spacing w:after="0" w:line="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color w:val="auto"/>
        </w:rPr>
        <w:t>1118 BH Schiphol Airport</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0"/>
          <w:szCs w:val="20"/>
          <w:color w:val="auto"/>
        </w:rPr>
        <w:t>The Netherlands</w:t>
      </w:r>
    </w:p>
    <w:p>
      <w:pPr>
        <w:spacing w:after="0" w:line="1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231F20"/>
        </w:rPr>
        <w:t>___________________________________________________________________________________________</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1" w:lineRule="exact"/>
        <w:rPr>
          <w:sz w:val="24"/>
          <w:szCs w:val="24"/>
          <w:color w:val="auto"/>
        </w:rPr>
      </w:pPr>
    </w:p>
    <w:p>
      <w:pPr>
        <w:ind w:left="3220"/>
        <w:spacing w:after="0" w:line="230" w:lineRule="exact"/>
        <w:tabs>
          <w:tab w:leader="none" w:pos="502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5"/>
          <w:szCs w:val="15"/>
          <w:b w:val="1"/>
          <w:bCs w:val="1"/>
          <w:color w:val="auto"/>
        </w:rPr>
        <w:t>Q</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0"/>
        <w:spacing w:after="0" w:line="282" w:lineRule="auto"/>
        <w:rPr>
          <w:sz w:val="20"/>
          <w:szCs w:val="20"/>
          <w:color w:val="auto"/>
        </w:rPr>
      </w:pPr>
      <w:r>
        <w:rPr>
          <w:rFonts w:ascii="Times New Roman" w:cs="Times New Roman" w:eastAsia="Times New Roman" w:hAnsi="Times New Roman"/>
          <w:sz w:val="18"/>
          <w:szCs w:val="18"/>
          <w:color w:val="auto"/>
        </w:rPr>
        <w:t>Enclosure: A press release dated February 2, 2026, announcing STMicroelectronics expands sensors capabilities with closing of acquisition of NXP’s MEMS business.</w:t>
      </w:r>
    </w:p>
    <w:p>
      <w:pPr>
        <w:sectPr>
          <w:pgSz w:w="11900" w:h="16838" w:orient="portrait"/>
          <w:cols w:equalWidth="0" w:num="1">
            <w:col w:w="9120"/>
          </w:cols>
          <w:pgMar w:left="1440" w:top="1440" w:right="1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PR n°C3384C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STMicroelectronics expands sensors capabilities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with closing of acquisition of NXP’s MEMS business</w:t>
      </w:r>
    </w:p>
    <w:p>
      <w:pPr>
        <w:spacing w:after="0" w:line="306"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i w:val="1"/>
          <w:iCs w:val="1"/>
          <w:color w:val="auto"/>
        </w:rPr>
        <w:t>Acquisition boosts ST’s position in automotive safety and expands leadership in sensors across automotive and industrial end markets</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Geneva, February 2, 2026 – STMicroelectronics (NYSE: STM), a global semiconductor leader serving customers across the spectrum of electronics applications, today completed the acquisition of NXP Semiconductors’ (NASDAQ: NXPI) MEMS sensors business. Announced in July 2025 and now fully approved by regulators, this transaction, focused on automotive safety and non-safety products and sensors for industrial applications, expands ST’s global sensors capabilities.</w:t>
      </w:r>
    </w:p>
    <w:p>
      <w:pPr>
        <w:spacing w:after="0" w:line="114"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Based on our initial assessment, we expect the acquired business to contribute in the mid-forties million dollars range to ST’s revenues in the first quarter of 2026.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STMicroelectronics</w:t>
      </w:r>
    </w:p>
    <w:p>
      <w:pPr>
        <w:spacing w:after="0" w:line="181" w:lineRule="exact"/>
        <w:rPr>
          <w:sz w:val="20"/>
          <w:szCs w:val="20"/>
          <w:color w:val="auto"/>
        </w:rPr>
      </w:pPr>
    </w:p>
    <w:p>
      <w:pPr>
        <w:ind w:right="160"/>
        <w:spacing w:after="0" w:line="262" w:lineRule="auto"/>
        <w:rPr>
          <w:sz w:val="20"/>
          <w:szCs w:val="20"/>
          <w:color w:val="auto"/>
        </w:rPr>
      </w:pPr>
      <w:r>
        <w:rPr>
          <w:rFonts w:ascii="Arial" w:cs="Arial" w:eastAsia="Arial" w:hAnsi="Arial"/>
          <w:sz w:val="21"/>
          <w:szCs w:val="21"/>
          <w:color w:val="auto"/>
        </w:rPr>
        <w:t xml:space="preserve">At ST, we are 48,000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 w:cs="Arial" w:eastAsia="Arial" w:hAnsi="Arial"/>
          <w:sz w:val="21"/>
          <w:szCs w:val="21"/>
          <w:u w:val="single" w:color="auto"/>
          <w:color w:val="467886"/>
        </w:rPr>
        <w:t>www.st.com</w:t>
      </w:r>
      <w:r>
        <w:rPr>
          <w:rFonts w:ascii="Arial" w:cs="Arial" w:eastAsia="Arial" w:hAnsi="Arial"/>
          <w:sz w:val="21"/>
          <w:szCs w:val="2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154"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Some of the statements contained in this release that are not historical facts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900"/>
        <w:spacing w:after="0" w:line="272" w:lineRule="auto"/>
        <w:rPr>
          <w:sz w:val="20"/>
          <w:szCs w:val="20"/>
          <w:color w:val="auto"/>
        </w:rPr>
      </w:pPr>
      <w:r>
        <w:rPr>
          <w:rFonts w:ascii="Arial" w:cs="Arial" w:eastAsia="Arial" w:hAnsi="Arial"/>
          <w:sz w:val="22"/>
          <w:szCs w:val="22"/>
          <w:color w:val="auto"/>
        </w:rPr>
        <w:t>actual results, performance or events to differ materially from those anticipated by such statements due to, among other factors:</w:t>
      </w:r>
    </w:p>
    <w:p>
      <w:pPr>
        <w:spacing w:after="0" w:line="88" w:lineRule="exact"/>
        <w:rPr>
          <w:sz w:val="20"/>
          <w:szCs w:val="20"/>
          <w:color w:val="auto"/>
        </w:rPr>
      </w:pPr>
    </w:p>
    <w:p>
      <w:pPr>
        <w:ind w:left="640" w:right="60" w:hanging="322"/>
        <w:spacing w:after="0" w:line="335" w:lineRule="auto"/>
        <w:tabs>
          <w:tab w:leader="none" w:pos="640" w:val="left"/>
        </w:tabs>
        <w:numPr>
          <w:ilvl w:val="0"/>
          <w:numId w:val="1"/>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global trade policies, including the adoption and expansion of tariffs and trade barriers, that could affect the macro-economic environment and directly or indirectly</w:t>
      </w:r>
    </w:p>
    <w:p>
      <w:pPr>
        <w:sectPr>
          <w:pgSz w:w="11900" w:h="16905" w:orient="portrait"/>
          <w:cols w:equalWidth="0" w:num="1">
            <w:col w:w="9200"/>
          </w:cols>
          <w:pgMar w:left="1420" w:top="1440" w:right="1279" w:bottom="0" w:gutter="0" w:footer="0" w:header="0"/>
        </w:sectPr>
      </w:pPr>
    </w:p>
    <w:bookmarkStart w:id="2" w:name="page3"/>
    <w:bookmarkEnd w:id="2"/>
    <w:p>
      <w:pPr>
        <w:spacing w:after="0" w:line="5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adversely impact the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5" w:lineRule="exact"/>
        <w:rPr>
          <w:sz w:val="20"/>
          <w:szCs w:val="20"/>
          <w:color w:val="auto"/>
        </w:rPr>
      </w:pPr>
    </w:p>
    <w:p>
      <w:pPr>
        <w:ind w:left="620" w:right="280" w:hanging="322"/>
        <w:spacing w:after="0" w:line="266"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uncertain macro-economic and industry trends (such as inflation and fluctuations in supply chains), which may impact production capacity and end-market demand for our products;</w:t>
      </w:r>
    </w:p>
    <w:p>
      <w:pPr>
        <w:spacing w:after="0" w:line="1" w:lineRule="exact"/>
        <w:rPr>
          <w:rFonts w:ascii="Times New Roman" w:cs="Times New Roman" w:eastAsia="Times New Roman" w:hAnsi="Times New Roman"/>
          <w:sz w:val="22"/>
          <w:szCs w:val="22"/>
          <w:color w:val="auto"/>
        </w:rPr>
      </w:pPr>
    </w:p>
    <w:p>
      <w:pPr>
        <w:ind w:left="620" w:right="80" w:hanging="322"/>
        <w:spacing w:after="0" w:line="272"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customer demand that differs from projections which may require us to undertake transformation measures that may not be successful in realizing the expected benefits in full or at all;</w:t>
      </w:r>
    </w:p>
    <w:p>
      <w:pPr>
        <w:spacing w:after="0" w:line="2" w:lineRule="exact"/>
        <w:rPr>
          <w:rFonts w:ascii="Times New Roman" w:cs="Times New Roman" w:eastAsia="Times New Roman" w:hAnsi="Times New Roman"/>
          <w:sz w:val="22"/>
          <w:szCs w:val="22"/>
          <w:color w:val="auto"/>
        </w:rPr>
      </w:pPr>
    </w:p>
    <w:p>
      <w:pPr>
        <w:ind w:left="620" w:right="580" w:hanging="322"/>
        <w:spacing w:after="0" w:line="274"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 ability to design, manufacture and sell innovative products in a rapidly changing technological environment;</w:t>
      </w:r>
    </w:p>
    <w:p>
      <w:pPr>
        <w:spacing w:after="0" w:line="1" w:lineRule="exact"/>
        <w:rPr>
          <w:rFonts w:ascii="Times New Roman" w:cs="Times New Roman" w:eastAsia="Times New Roman" w:hAnsi="Times New Roman"/>
          <w:sz w:val="22"/>
          <w:szCs w:val="22"/>
          <w:color w:val="auto"/>
        </w:rPr>
      </w:pPr>
    </w:p>
    <w:p>
      <w:pPr>
        <w:ind w:left="620" w:hanging="322"/>
        <w:spacing w:after="0" w:line="274"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4" w:lineRule="exact"/>
        <w:rPr>
          <w:rFonts w:ascii="Times New Roman" w:cs="Times New Roman" w:eastAsia="Times New Roman" w:hAnsi="Times New Roman"/>
          <w:sz w:val="22"/>
          <w:szCs w:val="22"/>
          <w:color w:val="auto"/>
        </w:rPr>
      </w:pPr>
    </w:p>
    <w:p>
      <w:pPr>
        <w:ind w:left="620" w:right="20" w:hanging="322"/>
        <w:spacing w:after="0" w:line="272"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unanticipated events or circumstances, which may impact our ability to execute our plans and/or meet the objectives of our R&amp;D and manufacturing programs, which benefit from public funding;</w:t>
      </w:r>
    </w:p>
    <w:p>
      <w:pPr>
        <w:spacing w:after="0" w:line="2" w:lineRule="exact"/>
        <w:rPr>
          <w:rFonts w:ascii="Times New Roman" w:cs="Times New Roman" w:eastAsia="Times New Roman" w:hAnsi="Times New Roman"/>
          <w:sz w:val="22"/>
          <w:szCs w:val="22"/>
          <w:color w:val="auto"/>
        </w:rPr>
      </w:pPr>
    </w:p>
    <w:p>
      <w:pPr>
        <w:ind w:left="620" w:right="920" w:hanging="322"/>
        <w:spacing w:after="0" w:line="274"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financial difficulties with any of our major distributors or significant curtailment of purchases by key customers;</w:t>
      </w:r>
    </w:p>
    <w:p>
      <w:pPr>
        <w:spacing w:after="0" w:line="1" w:lineRule="exact"/>
        <w:rPr>
          <w:rFonts w:ascii="Times New Roman" w:cs="Times New Roman" w:eastAsia="Times New Roman" w:hAnsi="Times New Roman"/>
          <w:sz w:val="22"/>
          <w:szCs w:val="22"/>
          <w:color w:val="auto"/>
        </w:rPr>
      </w:pPr>
    </w:p>
    <w:p>
      <w:pPr>
        <w:ind w:left="620" w:right="60" w:hanging="322"/>
        <w:spacing w:after="0" w:line="272"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 loading, product mix, and manufacturing performance of our production facilities and/ or our required volume to fulfill capacity reserved with suppliers or third-party manufacturing providers;</w:t>
      </w:r>
    </w:p>
    <w:p>
      <w:pPr>
        <w:spacing w:after="0" w:line="2" w:lineRule="exact"/>
        <w:rPr>
          <w:rFonts w:ascii="Times New Roman" w:cs="Times New Roman" w:eastAsia="Times New Roman" w:hAnsi="Times New Roman"/>
          <w:sz w:val="22"/>
          <w:szCs w:val="22"/>
          <w:color w:val="auto"/>
        </w:rPr>
      </w:pPr>
    </w:p>
    <w:p>
      <w:pPr>
        <w:ind w:left="620" w:right="520" w:hanging="322"/>
        <w:spacing w:after="0" w:line="276"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availability and costs of equipment, raw materials, utilities, third-party manufacturing services and technology, or other supplies required by our operations (including increasing costs resulting from inflation);</w:t>
      </w:r>
    </w:p>
    <w:p>
      <w:pPr>
        <w:spacing w:after="0" w:line="3" w:lineRule="exact"/>
        <w:rPr>
          <w:rFonts w:ascii="Times New Roman" w:cs="Times New Roman" w:eastAsia="Times New Roman" w:hAnsi="Times New Roman"/>
          <w:sz w:val="22"/>
          <w:szCs w:val="22"/>
          <w:color w:val="auto"/>
        </w:rPr>
      </w:pPr>
    </w:p>
    <w:p>
      <w:pPr>
        <w:ind w:left="620" w:right="80" w:hanging="322"/>
        <w:spacing w:after="0" w:line="271"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3" w:lineRule="exact"/>
        <w:rPr>
          <w:rFonts w:ascii="Times New Roman" w:cs="Times New Roman" w:eastAsia="Times New Roman" w:hAnsi="Times New Roman"/>
          <w:sz w:val="22"/>
          <w:szCs w:val="22"/>
          <w:color w:val="auto"/>
        </w:rPr>
      </w:pPr>
    </w:p>
    <w:p>
      <w:pPr>
        <w:ind w:left="620" w:right="400" w:hanging="322"/>
        <w:spacing w:after="0" w:line="274"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theft, loss, or misuse of personal data about our employees, customers, or other third parties, and breaches of data privacy legislation;</w:t>
      </w:r>
    </w:p>
    <w:p>
      <w:pPr>
        <w:spacing w:after="0" w:line="1" w:lineRule="exact"/>
        <w:rPr>
          <w:rFonts w:ascii="Times New Roman" w:cs="Times New Roman" w:eastAsia="Times New Roman" w:hAnsi="Times New Roman"/>
          <w:sz w:val="22"/>
          <w:szCs w:val="22"/>
          <w:color w:val="auto"/>
        </w:rPr>
      </w:pPr>
    </w:p>
    <w:p>
      <w:pPr>
        <w:ind w:left="620" w:right="160" w:hanging="322"/>
        <w:spacing w:after="0" w:line="274"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the impact of IP claims by our competitors or other third parties, and our ability to obtain required licenses on reasonable terms and conditions;</w:t>
      </w:r>
    </w:p>
    <w:p>
      <w:pPr>
        <w:spacing w:after="0" w:line="1" w:lineRule="exact"/>
        <w:rPr>
          <w:rFonts w:ascii="Times New Roman" w:cs="Times New Roman" w:eastAsia="Times New Roman" w:hAnsi="Times New Roman"/>
          <w:sz w:val="22"/>
          <w:szCs w:val="22"/>
          <w:color w:val="auto"/>
        </w:rPr>
      </w:pPr>
    </w:p>
    <w:p>
      <w:pPr>
        <w:ind w:left="620" w:right="240" w:hanging="322"/>
        <w:spacing w:after="0" w:line="275"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ind w:left="620" w:right="300" w:hanging="322"/>
        <w:spacing w:after="0" w:line="289"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variations in the foreign exchange markets and, more particularly, the U.S. dollar exchange rate as compared to the Euro and the other major currencies we use for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20" w:right="200" w:hanging="322"/>
        <w:spacing w:after="0" w:line="274" w:lineRule="auto"/>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outcome of ongoing litigation as well as the impact of any new litigation to which we may become a defendant;</w:t>
      </w:r>
    </w:p>
    <w:p>
      <w:pPr>
        <w:spacing w:after="0" w:line="1" w:lineRule="exact"/>
        <w:rPr>
          <w:rFonts w:ascii="Times New Roman" w:cs="Times New Roman" w:eastAsia="Times New Roman" w:hAnsi="Times New Roman"/>
          <w:sz w:val="22"/>
          <w:szCs w:val="22"/>
          <w:color w:val="auto"/>
        </w:rPr>
      </w:pPr>
    </w:p>
    <w:p>
      <w:pPr>
        <w:ind w:left="620" w:right="100" w:hanging="322"/>
        <w:spacing w:after="0" w:line="272" w:lineRule="auto"/>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product liability or warranty claims, claims based on epidemic or delivery failure, or other claims relating to our products, or recalls by our customers for products containing our parts;</w:t>
      </w:r>
    </w:p>
    <w:p>
      <w:pPr>
        <w:spacing w:after="0" w:line="2" w:lineRule="exact"/>
        <w:rPr>
          <w:rFonts w:ascii="Times New Roman" w:cs="Times New Roman" w:eastAsia="Times New Roman" w:hAnsi="Times New Roman"/>
          <w:sz w:val="22"/>
          <w:szCs w:val="22"/>
          <w:color w:val="auto"/>
        </w:rPr>
      </w:pPr>
    </w:p>
    <w:p>
      <w:pPr>
        <w:ind w:left="620" w:right="480" w:hanging="322"/>
        <w:spacing w:after="0" w:line="276" w:lineRule="auto"/>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natural events such as severe weather, earthquakes, tsunamis, volcano eruptions or other acts of nature, the effects of climate change, health risks and epidemics or pandemics in locations where we, our customers or our suppliers operate;</w:t>
      </w:r>
    </w:p>
    <w:p>
      <w:pPr>
        <w:spacing w:after="0" w:line="3" w:lineRule="exact"/>
        <w:rPr>
          <w:rFonts w:ascii="Times New Roman" w:cs="Times New Roman" w:eastAsia="Times New Roman" w:hAnsi="Times New Roman"/>
          <w:sz w:val="22"/>
          <w:szCs w:val="22"/>
          <w:color w:val="auto"/>
        </w:rPr>
      </w:pPr>
    </w:p>
    <w:p>
      <w:pPr>
        <w:ind w:left="620" w:hanging="322"/>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increased regulation and initiatives in our industry, including those concerning climate</w:t>
      </w:r>
    </w:p>
    <w:p>
      <w:pPr>
        <w:sectPr>
          <w:pgSz w:w="11900" w:h="16889" w:orient="portrait"/>
          <w:cols w:equalWidth="0" w:num="1">
            <w:col w:w="9140"/>
          </w:cols>
          <w:pgMar w:left="1440" w:top="71" w:right="1319" w:bottom="0" w:gutter="0" w:footer="0" w:header="0"/>
        </w:sectPr>
      </w:pPr>
    </w:p>
    <w:bookmarkStart w:id="3" w:name="page4"/>
    <w:bookmarkEnd w:id="3"/>
    <w:p>
      <w:pPr>
        <w:ind w:left="640" w:right="20"/>
        <w:spacing w:after="0" w:line="27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spacing w:after="0" w:line="2" w:lineRule="exact"/>
        <w:rPr>
          <w:sz w:val="20"/>
          <w:szCs w:val="20"/>
          <w:color w:val="auto"/>
        </w:rPr>
      </w:pPr>
    </w:p>
    <w:p>
      <w:pPr>
        <w:ind w:left="640" w:hanging="322"/>
        <w:spacing w:after="0" w:line="272" w:lineRule="auto"/>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epidemics or pandemics, which may negatively impact the global economy in a significant manner for an extended period of time, and could also materially adversely affect our business and operating results;</w:t>
      </w:r>
    </w:p>
    <w:p>
      <w:pPr>
        <w:spacing w:after="0" w:line="2" w:lineRule="exact"/>
        <w:rPr>
          <w:rFonts w:ascii="Times New Roman" w:cs="Times New Roman" w:eastAsia="Times New Roman" w:hAnsi="Times New Roman"/>
          <w:sz w:val="22"/>
          <w:szCs w:val="22"/>
          <w:color w:val="auto"/>
        </w:rPr>
      </w:pPr>
    </w:p>
    <w:p>
      <w:pPr>
        <w:ind w:left="640" w:hanging="322"/>
        <w:spacing w:after="0" w:line="274" w:lineRule="auto"/>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industry changes resulting from vertical and horizontal consolidation among our suppliers, competitors, and customers;</w:t>
      </w:r>
    </w:p>
    <w:p>
      <w:pPr>
        <w:spacing w:after="0" w:line="1" w:lineRule="exact"/>
        <w:rPr>
          <w:rFonts w:ascii="Times New Roman" w:cs="Times New Roman" w:eastAsia="Times New Roman" w:hAnsi="Times New Roman"/>
          <w:sz w:val="22"/>
          <w:szCs w:val="22"/>
          <w:color w:val="auto"/>
        </w:rPr>
      </w:pPr>
    </w:p>
    <w:p>
      <w:pPr>
        <w:ind w:left="640" w:right="680" w:hanging="322"/>
        <w:spacing w:after="0" w:line="285" w:lineRule="auto"/>
        <w:tabs>
          <w:tab w:leader="none" w:pos="64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the ability to successfully ramp up new programs that could be impacted by factors beyond our control, including the availability of critical third-party components and performance of subcontractors in line with our expectations; and</w:t>
      </w:r>
    </w:p>
    <w:p>
      <w:pPr>
        <w:spacing w:after="0" w:line="2" w:lineRule="exact"/>
        <w:rPr>
          <w:rFonts w:ascii="Times New Roman" w:cs="Times New Roman" w:eastAsia="Times New Roman" w:hAnsi="Times New Roman"/>
          <w:sz w:val="21"/>
          <w:szCs w:val="21"/>
          <w:color w:val="auto"/>
        </w:rPr>
      </w:pPr>
    </w:p>
    <w:p>
      <w:pPr>
        <w:ind w:left="640" w:right="80" w:hanging="322"/>
        <w:spacing w:after="0" w:line="286" w:lineRule="auto"/>
        <w:tabs>
          <w:tab w:leader="none" w:pos="64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251"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w:t>
      </w:r>
    </w:p>
    <w:p>
      <w:pPr>
        <w:spacing w:after="0" w:line="101"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Some of these risk factors are set forth and are discussed in more detail in “Item 3. Key Information — Risk Factors” included in our Annual Report on Form 20-F for the year ended December 31, 2024 as filed with the Securities and Exchange Commission (“SEC”) on February 27, 2025. Should one or more of these risks or uncertainties materialize, or should underlying assumptions prove incorrect, actual results may vary materially from those described in this press release as anticipated, believed or expected. We do not intend, and do not assume any obligation, to update any industry information or forward-looking statements set forth in this release to reflect subsequent events or circumstances.</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Unfavorable changes in the above or other factors listed under “Item 3. Key Information — Risk Factors” from time to time in our SEC filings, could have a material adverse effect on our business and/or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further information, please contact: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Jérôme Ramel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EVP Corporate Development &amp; Integrated External Communication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+41 22 929 59 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jerome.ramel@st.com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Alexis Breton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Group VP Corporate External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+33 6 59 16 79 08</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467886"/>
        </w:rPr>
        <w:t>alexis.breton@st.com</w:t>
      </w:r>
    </w:p>
    <w:p>
      <w:pPr>
        <w:sectPr>
          <w:pgSz w:w="11900" w:h="16838" w:orient="portrait"/>
          <w:cols w:equalWidth="0" w:num="1">
            <w:col w:w="9200"/>
          </w:cols>
          <w:pgMar w:left="1420" w:top="140" w:right="1279" w:bottom="4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r>
      <w:tr>
        <w:trPr>
          <w:trHeight w:val="41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1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color w:val="auto"/>
                <w:highlight w:val="white"/>
                <w:w w:val="98"/>
              </w:rPr>
              <w:t>Lorenzo Grandi</w:t>
            </w:r>
          </w:p>
        </w:tc>
        <w:tc>
          <w:tcPr>
            <w:tcW w:w="880" w:type="dxa"/>
            <w:vAlign w:val="bottom"/>
          </w:tcPr>
          <w:p>
            <w:pPr>
              <w:spacing w:after="0"/>
              <w:rPr>
                <w:sz w:val="24"/>
                <w:szCs w:val="24"/>
                <w:color w:val="auto"/>
              </w:rPr>
            </w:pPr>
          </w:p>
        </w:tc>
      </w:tr>
      <w:tr>
        <w:trPr>
          <w:trHeight w:val="493"/>
        </w:trPr>
        <w:tc>
          <w:tcPr>
            <w:tcW w:w="3540" w:type="dxa"/>
            <w:vAlign w:val="bottom"/>
          </w:tcPr>
          <w:p>
            <w:pPr>
              <w:spacing w:after="0"/>
              <w:rPr>
                <w:sz w:val="24"/>
                <w:szCs w:val="24"/>
                <w:color w:val="auto"/>
              </w:rPr>
            </w:pP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highlight w:val="white"/>
              </w:rPr>
              <w:t>Lorenzo Grandi</w:t>
            </w:r>
          </w:p>
        </w:tc>
      </w:tr>
      <w:tr>
        <w:trPr>
          <w:trHeight w:val="256"/>
        </w:trPr>
        <w:tc>
          <w:tcPr>
            <w:tcW w:w="3540" w:type="dxa"/>
            <w:vAlign w:val="bottom"/>
          </w:tcPr>
          <w:p>
            <w:pPr>
              <w:spacing w:after="0"/>
              <w:rPr>
                <w:sz w:val="22"/>
                <w:szCs w:val="22"/>
                <w:color w:val="auto"/>
              </w:rPr>
            </w:pP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r>
    </w:tbl>
    <w:p>
      <w:pPr>
        <w:sectPr>
          <w:pgSz w:w="11900" w:h="16838" w:orient="portrait"/>
          <w:cols w:equalWidth="0" w:num="1">
            <w:col w:w="9060"/>
          </w:cols>
          <w:pgMar w:left="1420" w:top="1440" w:right="14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702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702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2026-02-02T15:29:13Z</dcterms:created>
  <dcterms:modified xsi:type="dcterms:W3CDTF">2026-02-02T15:29:13Z</dcterms:modified>
</cp:coreProperties>
</file>