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727672_6k.htm"/>
      <w:bookmarkStart w:id="1" w:name="ksss6727672_6k"/>
      <w:bookmarkEnd w:id="0"/>
      <w:bookmarkEnd w:id="1"/>
      <w:r>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91"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pacing w:val="-8"/>
          <w:sz w:val="20"/>
        </w:rPr>
        <w:t xml:space="preserve">UNITED </w:t>
      </w:r>
      <w:r>
        <w:rPr>
          <w:rFonts w:ascii="Times New Roman;Times;Serif" w:hAnsi="Times New Roman;Times;Serif"/>
          <w:b/>
          <w:i w:val="false"/>
          <w:caps w:val="false"/>
          <w:smallCaps w:val="false"/>
          <w:color w:val="231F20"/>
          <w:spacing w:val="-2"/>
          <w:sz w:val="20"/>
        </w:rPr>
        <w:t>STATES</w:t>
      </w:r>
    </w:p>
    <w:p>
      <w:pPr>
        <w:pStyle w:val="TextBody"/>
        <w:bidi w:val="0"/>
        <w:spacing w:before="10" w:after="283"/>
        <w:jc w:val="center"/>
        <w:rPr>
          <w:rFonts w:ascii="Times New Roman;Times;Serif" w:hAnsi="Times New Roman;Times;Serif"/>
          <w:b/>
          <w:i w:val="false"/>
          <w:caps w:val="false"/>
          <w:smallCaps w:val="false"/>
          <w:color w:val="231F20"/>
          <w:spacing w:val="-8"/>
          <w:sz w:val="20"/>
        </w:rPr>
      </w:pPr>
      <w:r>
        <w:rPr>
          <w:rFonts w:ascii="Times New Roman;Times;Serif" w:hAnsi="Times New Roman;Times;Serif"/>
          <w:b/>
          <w:i w:val="false"/>
          <w:caps w:val="false"/>
          <w:smallCaps w:val="false"/>
          <w:color w:val="231F20"/>
          <w:spacing w:val="-8"/>
          <w:sz w:val="20"/>
        </w:rPr>
        <w:t>SECURITIES AND EXCHANGE COMMISSION</w:t>
      </w:r>
    </w:p>
    <w:p>
      <w:pPr>
        <w:pStyle w:val="TextBody"/>
        <w:bidi w:val="0"/>
        <w:spacing w:before="10" w:after="283"/>
        <w:ind w:left="0" w:right="0" w:hanging="0"/>
        <w:jc w:val="center"/>
        <w:rPr>
          <w:rFonts w:ascii="Times New Roman;Times;Serif" w:hAnsi="Times New Roman;Times;Serif"/>
          <w:b/>
          <w:i w:val="false"/>
          <w:caps w:val="false"/>
          <w:smallCaps w:val="false"/>
          <w:color w:val="231F20"/>
          <w:spacing w:val="-2"/>
          <w:sz w:val="20"/>
        </w:rPr>
      </w:pPr>
      <w:r>
        <w:rPr>
          <w:rFonts w:ascii="Times New Roman;Times;Serif" w:hAnsi="Times New Roman;Times;Serif"/>
          <w:b/>
          <w:i w:val="false"/>
          <w:caps w:val="false"/>
          <w:smallCaps w:val="false"/>
          <w:color w:val="231F20"/>
          <w:spacing w:val="-2"/>
          <w:sz w:val="20"/>
        </w:rPr>
        <w:t>Washington, D.C. 20549</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240" w:after="200"/>
        <w:ind w:left="240" w:right="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lineRule="auto" w:line="247" w:before="258"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pacing w:val="-2"/>
          <w:sz w:val="20"/>
        </w:rPr>
        <w:t xml:space="preserve">REPORT OF FOREIGN PRIVATE ISSUER PURSUANT TO RULE 13a-16 OR 15d-16 UNDER THE </w:t>
      </w:r>
      <w:r>
        <w:rPr>
          <w:rFonts w:ascii="Times New Roman;Times;Serif" w:hAnsi="Times New Roman;Times;Serif"/>
          <w:b/>
          <w:i w:val="false"/>
          <w:caps w:val="false"/>
          <w:smallCaps w:val="false"/>
          <w:color w:val="231F20"/>
          <w:sz w:val="20"/>
        </w:rPr>
        <w:t>SECURITIES EXCHANGE ACT OF 1934</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lineRule="auto" w:line="499"/>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month of August, 2026 </w:t>
      </w:r>
    </w:p>
    <w:p>
      <w:pPr>
        <w:pStyle w:val="TextBody"/>
        <w:bidi w:val="0"/>
        <w:spacing w:lineRule="auto" w:line="499"/>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Commission File Number: 1-13546</w:t>
      </w:r>
    </w:p>
    <w:p>
      <w:pPr>
        <w:pStyle w:val="TextBody"/>
        <w:bidi w:val="0"/>
        <w:spacing w:lineRule="auto" w:line="499"/>
        <w:ind w:left="165" w:right="307" w:hanging="0"/>
        <w:jc w:val="center"/>
        <w:rPr>
          <w:caps w:val="false"/>
          <w:smallCaps w:val="false"/>
        </w:rPr>
      </w:pPr>
      <w:r>
        <w:rPr>
          <w:caps w:val="false"/>
          <w:smallCaps w:val="false"/>
        </w:rPr>
        <w:t> </w:t>
      </w:r>
    </w:p>
    <w:p>
      <w:pPr>
        <w:pStyle w:val="TextBody"/>
        <w:bidi w:val="0"/>
        <w:spacing w:before="5" w:after="5"/>
        <w:ind w:left="5" w:right="5"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STMicroelectronics N.V.</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20" w:after="20"/>
        <w:ind w:left="0" w:right="147" w:hanging="0"/>
        <w:jc w:val="left"/>
        <w:rPr>
          <w:bdr w:val="single" w:sz="4" w:space="1" w:color="000000"/>
        </w:rPr>
      </w:pPr>
      <w:r>
        <w:rPr>
          <w:bdr w:val="single" w:sz="4" w:space="1" w:color="000000"/>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before="10" w:after="283"/>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(Name of Registrant)</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WTC Schiphol Airport</w:t>
        <w:br/>
        <w:t>Schiphol Boulevard 265</w:t>
        <w:br/>
        <w:t>1118 BH Schiphol Airport</w:t>
        <w:br/>
        <w:t>The Netherlands</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20" w:after="20"/>
        <w:ind w:left="0" w:right="147" w:hanging="0"/>
        <w:jc w:val="left"/>
        <w:rPr>
          <w:bdr w:val="single" w:sz="4" w:space="1" w:color="000000"/>
        </w:rPr>
      </w:pPr>
      <w:r>
        <w:rPr>
          <w:bdr w:val="single" w:sz="4" w:space="1" w:color="000000"/>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before="10" w:after="283"/>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(Address of Principal Executive Offices)</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0" w:after="240"/>
        <w:ind w:left="142" w:right="0" w:hanging="0"/>
        <w:jc w:val="both"/>
        <w:rPr>
          <w:caps w:val="false"/>
          <w:smallCaps w:val="false"/>
        </w:rPr>
      </w:pPr>
      <w:r>
        <w:rPr>
          <w:caps w:val="false"/>
          <w:smallCaps w:val="false"/>
        </w:rPr>
        <w:t> </w:t>
      </w:r>
    </w:p>
    <w:p>
      <w:pPr>
        <w:pStyle w:val="TextBody"/>
        <w:bidi w:val="0"/>
        <w:spacing w:before="0" w:after="24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spacing w:before="0" w:after="200"/>
        <w:jc w:val="both"/>
        <w:rPr>
          <w:caps w:val="false"/>
          <w:smallCaps w:val="false"/>
        </w:rPr>
      </w:pPr>
      <w:r>
        <w:rPr>
          <w:caps w:val="false"/>
          <w:smallCaps w:val="false"/>
        </w:rPr>
        <w:t> </w:t>
      </w:r>
    </w:p>
    <w:p>
      <w:pPr>
        <w:pStyle w:val="TextBody"/>
        <w:bidi w:val="0"/>
        <w:spacing w:before="0" w:after="20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Enclosure: A press release dated August 19, 2026, announcing the publication of STMicroelectronics' IFRS 2026 semi-annual accounts.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caps w:val="false"/>
          <w:smallCaps w:val="false"/>
        </w:rPr>
        <w:drawing>
          <wp:inline distT="0" distB="0" distL="0" distR="0">
            <wp:extent cx="9048750" cy="1666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16668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 No. C3408C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STMicroelectronics publishes its IFRS 2026 Semi Annual Accounts</w:t>
      </w:r>
    </w:p>
    <w:p>
      <w:pPr>
        <w:pStyle w:val="TextBody"/>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Geneva, August 19, 2026</w:t>
      </w:r>
      <w:r>
        <w:rPr>
          <w:rFonts w:ascii="Arial;Helvetica;Sans-Serif" w:hAnsi="Arial;Helvetica;Sans-Serif"/>
          <w:b w:val="false"/>
          <w:i w:val="false"/>
          <w:caps w:val="false"/>
          <w:smallCaps w:val="false"/>
          <w:sz w:val="20"/>
        </w:rPr>
        <w:t xml:space="preserve"> – STMicroelectronics NV (NYSE: STM), a global semiconductor leader serving customers across the spectrum of electronics applications, published today its IFRS 2026 Semi Annual Accounts for the six-month period ended June 27, 2026 on its website and filed them with the Netherlands Authority for the Financial Markets (AFM).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Semi Annual Accounts, prepared in accordance with International Financial Reporting Standards (IFRS-EU), are posted on the Company’s website (</w:t>
      </w:r>
      <w:r>
        <w:rPr>
          <w:rFonts w:ascii="Arial;Helvetica;Sans-Serif" w:hAnsi="Arial;Helvetica;Sans-Serif"/>
          <w:b w:val="false"/>
          <w:i w:val="false"/>
          <w:caps w:val="false"/>
          <w:smallCaps w:val="false"/>
          <w:color w:val="0000FF"/>
          <w:sz w:val="20"/>
          <w:u w:val="single"/>
        </w:rPr>
        <w:t>www.st.com</w:t>
      </w:r>
      <w:r>
        <w:rPr>
          <w:rFonts w:ascii="Arial;Helvetica;Sans-Serif" w:hAnsi="Arial;Helvetica;Sans-Serif"/>
          <w:b w:val="false"/>
          <w:i w:val="false"/>
          <w:caps w:val="false"/>
          <w:smallCaps w:val="false"/>
          <w:sz w:val="20"/>
        </w:rPr>
        <w:t>) and the AFM’s website (</w:t>
      </w:r>
      <w:r>
        <w:rPr>
          <w:rFonts w:ascii="Arial;Helvetica;Sans-Serif" w:hAnsi="Arial;Helvetica;Sans-Serif"/>
          <w:b w:val="false"/>
          <w:i w:val="false"/>
          <w:caps w:val="false"/>
          <w:smallCaps w:val="false"/>
          <w:color w:val="0000FF"/>
          <w:sz w:val="20"/>
          <w:u w:val="single"/>
        </w:rPr>
        <w:t>www.afm.nl</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About STMicroelectronics</w:t>
        <w:br/>
      </w:r>
      <w:r>
        <w:rPr>
          <w:rFonts w:ascii="Arial;Helvetica;Sans-Serif" w:hAnsi="Arial;Helvetica;Sans-Serif"/>
          <w:b w:val="false"/>
          <w:i w:val="false"/>
          <w:caps w:val="false"/>
          <w:smallCaps w:val="false"/>
          <w:sz w:val="20"/>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Helvetica;Sans-Serif" w:hAnsi="Arial;Helvetica;Sans-Serif"/>
          <w:b w:val="false"/>
          <w:i w:val="false"/>
          <w:caps w:val="false"/>
          <w:smallCaps w:val="false"/>
          <w:color w:val="0000FF"/>
          <w:sz w:val="20"/>
          <w:u w:val="single"/>
        </w:rPr>
        <w:t>www.st.com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For more information, please contact: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br/>
        <w:t>INVESTOR RELATIONS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Jérôme Ramel</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EVP Corporate Development &amp; Integrated External Communication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 +41.22.929.59.20</w:t>
      </w:r>
    </w:p>
    <w:p>
      <w:pPr>
        <w:pStyle w:val="TextBody"/>
        <w:bidi w:val="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jerome.ramel@st.com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MEDIA RELATIONS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Alexis Breton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Group VP Corporate External Communications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 +33.6.59.16.79.08</w:t>
      </w:r>
    </w:p>
    <w:p>
      <w:pPr>
        <w:pStyle w:val="TextBody"/>
        <w:bidi w:val="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alexis.breton@st.com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FF0000"/>
          <w:sz w:val="20"/>
        </w:rPr>
      </w:pPr>
      <w:r>
        <w:rPr>
          <w:rFonts w:ascii="Arial;Helvetica;Sans-Serif" w:hAnsi="Arial;Helvetica;Sans-Serif"/>
          <w:b w:val="false"/>
          <w:i w:val="false"/>
          <w:caps w:val="false"/>
          <w:smallCaps w:val="false"/>
          <w:color w:val="FF0000"/>
          <w:sz w:val="20"/>
        </w:rPr>
        <w:t>ST Restricted</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5465" w:type="dxa"/>
        <w:jc w:val="left"/>
        <w:tblInd w:w="0" w:type="dxa"/>
        <w:tblLayout w:type="fixed"/>
        <w:tblCellMar>
          <w:top w:w="0" w:type="dxa"/>
          <w:left w:w="0" w:type="dxa"/>
          <w:bottom w:w="0" w:type="dxa"/>
          <w:right w:w="0" w:type="dxa"/>
        </w:tblCellMar>
      </w:tblPr>
      <w:tblGrid>
        <w:gridCol w:w="515"/>
        <w:gridCol w:w="1370"/>
        <w:gridCol w:w="545"/>
        <w:gridCol w:w="3035"/>
      </w:tblGrid>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b/>
                <w:sz w:val="20"/>
              </w:rPr>
            </w:pPr>
            <w:r>
              <w:rPr>
                <w:b/>
                <w:sz w:val="20"/>
              </w:rPr>
              <w:t>STMicroelectronics N.V.</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20"/>
              </w:rPr>
            </w:pPr>
            <w:r>
              <w:rPr>
                <w:sz w:val="20"/>
              </w:rPr>
              <w:t xml:space="preserve">Date: </w:t>
            </w:r>
          </w:p>
        </w:tc>
        <w:tc>
          <w:tcPr>
            <w:tcW w:w="1370" w:type="dxa"/>
            <w:tcBorders/>
            <w:vAlign w:val="center"/>
          </w:tcPr>
          <w:p>
            <w:pPr>
              <w:pStyle w:val="TableContents"/>
              <w:bidi w:val="0"/>
              <w:spacing w:before="0" w:after="283"/>
              <w:jc w:val="left"/>
              <w:rPr>
                <w:sz w:val="20"/>
              </w:rPr>
            </w:pPr>
            <w:r>
              <w:rPr>
                <w:sz w:val="20"/>
              </w:rPr>
              <w:t>August 19, 2026</w:t>
            </w:r>
          </w:p>
        </w:tc>
        <w:tc>
          <w:tcPr>
            <w:tcW w:w="545" w:type="dxa"/>
            <w:tcBorders/>
            <w:vAlign w:val="center"/>
          </w:tcPr>
          <w:p>
            <w:pPr>
              <w:pStyle w:val="TableContents"/>
              <w:bidi w:val="0"/>
              <w:spacing w:before="0" w:after="283"/>
              <w:jc w:val="left"/>
              <w:rPr>
                <w:sz w:val="20"/>
              </w:rPr>
            </w:pPr>
            <w:r>
              <w:rPr>
                <w:sz w:val="20"/>
              </w:rPr>
              <w:t>By:</w:t>
            </w:r>
          </w:p>
        </w:tc>
        <w:tc>
          <w:tcPr>
            <w:tcW w:w="3035" w:type="dxa"/>
            <w:tcBorders/>
            <w:vAlign w:val="center"/>
          </w:tcPr>
          <w:p>
            <w:pPr>
              <w:pStyle w:val="TableContents"/>
              <w:bidi w:val="0"/>
              <w:spacing w:before="0" w:after="283"/>
              <w:jc w:val="left"/>
              <w:rPr>
                <w:u w:val="single"/>
              </w:rPr>
            </w:pPr>
            <w:r>
              <w:rPr>
                <w:u w:val="single"/>
              </w:rPr>
              <w:t>          </w:t>
            </w:r>
            <w:r>
              <w:rPr>
                <w:sz w:val="20"/>
                <w:u w:val="single"/>
              </w:rPr>
              <w:t xml:space="preserve">/s/ </w:t>
            </w:r>
            <w:r>
              <w:rPr>
                <w:smallCaps/>
                <w:sz w:val="20"/>
                <w:u w:val="single"/>
                <w:shd w:fill="FFFFFF" w:val="clear"/>
              </w:rPr>
              <w:t>Lorenzo Grandi</w:t>
            </w:r>
            <w:r>
              <w:rPr>
                <w:sz w:val="20"/>
                <w:u w:val="single"/>
              </w:rPr>
              <w:t xml:space="preserve">          </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35" w:type="dxa"/>
            <w:tcBorders/>
            <w:vAlign w:val="center"/>
          </w:tcPr>
          <w:p>
            <w:pPr>
              <w:pStyle w:val="TableContents"/>
              <w:bidi w:val="0"/>
              <w:spacing w:before="0" w:after="283"/>
              <w:jc w:val="left"/>
              <w:rPr>
                <w:sz w:val="20"/>
                <w:shd w:fill="FFFFFF" w:val="clear"/>
              </w:rPr>
            </w:pPr>
            <w:r>
              <w:rPr>
                <w:sz w:val="20"/>
                <w:shd w:fill="FFFFFF" w:val="clear"/>
              </w:rPr>
              <w:t>Lorenzo Grandi</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3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before="20" w:after="20"/>
        <w:ind w:left="0" w:right="147" w:hanging="0"/>
        <w:jc w:val="left"/>
        <w:rPr>
          <w:bdr w:val="single" w:sz="16" w:space="1" w:color="000000"/>
        </w:rPr>
      </w:pPr>
      <w:r>
        <w:rPr>
          <w:bdr w:val="single" w:sz="16" w:space="1" w:color="000000"/>
        </w:rPr>
        <w:t> </w:t>
      </w:r>
    </w:p>
    <w:p>
      <w:pPr>
        <w:pStyle w:val="TextBody"/>
        <w:bidi w:val="0"/>
        <w:spacing w:lineRule="auto" w:line="247" w:before="1" w:after="1"/>
        <w:ind w:left="147" w:right="147"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406</Words>
  <Characters>2468</Characters>
  <CharactersWithSpaces>2965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