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August,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20-F </w:t>
      </w:r>
      <w:r>
        <w:rPr>
          <w:rFonts w:ascii="Wingdings 2;sans-serif" w:hAnsi="Wingdings 2;sans-serif"/>
          <w:b w:val="false"/>
          <w:i w:val="false"/>
          <w:caps w:val="false"/>
          <w:smallCaps w:val="false"/>
          <w:sz w:val="24"/>
          <w:shd w:fill="E4E4E4" w:val="clear"/>
        </w:rPr>
        <w:t>Q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        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August 17, 2026, announcing the results of trading in STMicroelectronics'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August 17, 2026, announcing the results of trading in STMicroelectronics'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 shares as part of the previously announced share buy-back program for the period from August, 10, 2026,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 shares as part of the previously announced share buy-back program for the period from August, 10, 2026,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1036955" cy="293370"/>
                <wp:effectExtent l="0" t="0" r="0" b="0"/>
                <wp:wrapNone/>
                <wp:docPr id="1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August, 14,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65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August, 14,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</w: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N°C3407C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N°C3407C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of 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Disclosure of Transactions in Own Shares – Period from August 10, 2026 to August 14, 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5976620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2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7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(the Market Abuse Regulation) was to meet obligations arising from share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(the Market Abuse Regulation) was to meet obligations arising from share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5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16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programmes, or other allocations of shares, to employees or to members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programmes, or other allocations of shares, to employees or to members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7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8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administrative, management or supervisory bodies of the issuer or of an associate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administrative, management or supervisory bodies of the issuer or of an associate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48970" cy="350520"/>
                <wp:effectExtent l="0" t="0" r="0" b="0"/>
                <wp:wrapNone/>
                <wp:docPr id="2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2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shares may be held in treasury prior to being used for such purpose and,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shares may be held in treasury prior to being used for such purpose and,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23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extent that they are not ultimately needed for such purpose, they may be used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extent that they are not ultimately needed for such purpose, they may be used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62220" cy="350520"/>
                <wp:effectExtent l="0" t="0" r="0" b="0"/>
                <wp:wrapNone/>
                <wp:docPr id="25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any other lawful purpose under article 5(2) of the Market Abuse Regulation.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any other lawful purpose under article 5(2) of the Market Abuse Regulation.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purpose of these transactions under article 5(2) of Regulation (EU) 596/2014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purpose of these transactions under article 5(2) of Regulation (EU) 596/2014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7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Below is a summary of the repurchase transactions made in the course of the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Below is a summary of the repurchase transactions made in the course of the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8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in relation to the ordinary shares of STMicroelectronics (ISIN: NL0000226223),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in relation to the ordinary shares of STMicroelectronics (ISIN: NL0000226223),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22655" cy="350520"/>
                <wp:effectExtent l="0" t="0" r="0" b="0"/>
                <wp:wrapNone/>
                <wp:docPr id="3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detailed form.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6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detailed form.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3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2181860"/>
                <wp:effectExtent l="0" t="0" r="0" b="0"/>
                <wp:wrapNone/>
                <wp:docPr id="3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2181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36"/>
                              <w:gridCol w:w="1526"/>
                              <w:gridCol w:w="2036"/>
                              <w:gridCol w:w="1766"/>
                              <w:gridCol w:w="2186"/>
                            </w:tblGrid>
                            <w:tr>
                              <w:trPr/>
                              <w:tc>
                                <w:tcPr>
                                  <w:tcW w:w="20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10-Aug-26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11-Aug-26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12-Aug-26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13-Aug-26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14-Aug-26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71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36"/>
                        <w:gridCol w:w="1526"/>
                        <w:gridCol w:w="2036"/>
                        <w:gridCol w:w="1766"/>
                        <w:gridCol w:w="2186"/>
                      </w:tblGrid>
                      <w:tr>
                        <w:trPr/>
                        <w:tc>
                          <w:tcPr>
                            <w:tcW w:w="20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10-Aug-26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11-Aug-26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12-Aug-26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13-Aug-26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14-Aug-26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350520"/>
                <wp:effectExtent l="0" t="0" r="0" b="0"/>
                <wp:wrapNone/>
                <wp:docPr id="34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18,828,440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18,828,440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6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2.1%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2.1%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7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38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9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(registered with the trade register under number 33194537)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(registered with the trade register under number 33194537)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3365500</wp:posOffset>
                </wp:positionH>
                <wp:positionV relativeFrom="line">
                  <wp:posOffset>635</wp:posOffset>
                </wp:positionV>
                <wp:extent cx="75565" cy="175260"/>
                <wp:effectExtent l="0" t="0" r="0" b="0"/>
                <wp:wrapNone/>
                <wp:docPr id="40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95pt;height:13.8pt;mso-wrap-distance-left:0pt;mso-wrap-distance-right:0pt;mso-wrap-distance-top:0pt;mso-wrap-distance-bottom:0pt;margin-top:0pt;mso-position-vertical:top;mso-position-vertical-relative:text;margin-left:2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3441065</wp:posOffset>
                </wp:positionH>
                <wp:positionV relativeFrom="line">
                  <wp:posOffset>635</wp:posOffset>
                </wp:positionV>
                <wp:extent cx="3206115" cy="175260"/>
                <wp:effectExtent l="0" t="0" r="0" b="0"/>
                <wp:wrapNone/>
                <wp:docPr id="4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-- STMicroelectronics N.V. (the “Company”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45pt;height:13.8pt;mso-wrap-distance-left:0pt;mso-wrap-distance-right:0pt;mso-wrap-distance-top:0pt;mso-wrap-distance-bottom:0pt;margin-top:0pt;mso-position-vertical:top;mso-position-vertical-relative:text;margin-left:27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-- STMicroelectronics N.V. (the “Company”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895"/>
                <wp:effectExtent l="0" t="0" r="0" b="0"/>
                <wp:wrapNone/>
                <wp:docPr id="4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8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STMicroelectronics”), a global semiconductor leader serving customers across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STMicroelectronics”), a global semiconductor leader serving customers across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4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4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spectrum of electronics applications, announces full details of its common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spectrum of electronics applications, announces full details of its common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repurchase program (the “Program”) disclosed via a press release dated June 21,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repurchase program (the “Program”) disclosed via a press release dated June 21,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2024. The Program was approved by a shareholder resolution dated May 22,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2024. The Program was approved by a shareholder resolution dated May 22,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006600" cy="350520"/>
                <wp:effectExtent l="0" t="0" r="0" b="0"/>
                <wp:wrapNone/>
                <wp:docPr id="5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and by the supervisory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and by the supervisory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451100" cy="175260"/>
                <wp:effectExtent l="0" t="0" r="0" b="0"/>
                <wp:wrapNone/>
                <wp:docPr id="5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AMSTERDAM – August 17,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AMSTERDAM – August 17,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(LEI: 213800Z8NOHIKRI42W10) announces the repurchase (by a broker acting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(LEI: 213800Z8NOHIKRI42W10) announces the repurchase (by a broker acting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Company) on the regulated market of Euronext Paris, in the period between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Company) on the regulated market of Euronext Paris, in the period between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57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5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August 10, 2026 to August 14, 2026 (the “Period”), of  115,000 ordinary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August 10, 2026 to August 14, 2026 (the “Period”), of  115,000 ordinary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9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(equal to 0.01% of its issued share capital) at the weighted average purchase price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(equal to 0.01% of its issued share capital) at the weighted average purchase price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per share of EUR 47.9854 and for an overall price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per share of EUR 47.9854 and for an overall price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6089650" cy="175260"/>
                <wp:effectExtent l="0" t="0" r="0" b="0"/>
                <wp:wrapNone/>
                <wp:docPr id="6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9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                                                                                                                                            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9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                                                                                                                                            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31545" cy="350520"/>
                <wp:effectExtent l="0" t="0" r="0" b="0"/>
                <wp:wrapNone/>
                <wp:docPr id="6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5,518,320.50.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3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5,518,320.50.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28725" cy="350520"/>
                <wp:effectExtent l="0" t="0" r="0" b="0"/>
                <wp:wrapNone/>
                <wp:docPr id="65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1228725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66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2143125</wp:posOffset>
                </wp:positionH>
                <wp:positionV relativeFrom="line">
                  <wp:posOffset>635</wp:posOffset>
                </wp:positionV>
                <wp:extent cx="1238250" cy="876300"/>
                <wp:effectExtent l="0" t="0" r="0" b="0"/>
                <wp:wrapNone/>
                <wp:docPr id="6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69pt;mso-wrap-distance-left:0pt;mso-wrap-distance-right:0pt;mso-wrap-distance-top:0pt;mso-wrap-distance-bottom:0pt;margin-top:0pt;mso-position-vertical:top;mso-position-vertical-relative:text;margin-left:1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3381375</wp:posOffset>
                </wp:positionH>
                <wp:positionV relativeFrom="line">
                  <wp:posOffset>635</wp:posOffset>
                </wp:positionV>
                <wp:extent cx="1066800" cy="350520"/>
                <wp:effectExtent l="0" t="0" r="0" b="0"/>
                <wp:wrapNone/>
                <wp:docPr id="68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27.6pt;mso-wrap-distance-left:0pt;mso-wrap-distance-right:0pt;mso-wrap-distance-top:0pt;mso-wrap-distance-bottom:0pt;margin-top:0pt;mso-position-vertical:top;mso-position-vertical-relative:text;margin-left:26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4448175</wp:posOffset>
                </wp:positionH>
                <wp:positionV relativeFrom="line">
                  <wp:posOffset>635</wp:posOffset>
                </wp:positionV>
                <wp:extent cx="1304925" cy="701040"/>
                <wp:effectExtent l="0" t="0" r="0" b="0"/>
                <wp:wrapNone/>
                <wp:docPr id="6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701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which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the 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55.2pt;mso-wrap-distance-left:0pt;mso-wrap-distance-right:0pt;mso-wrap-distance-top:0pt;mso-wrap-distance-bottom:0pt;margin-top:0pt;mso-position-vertical:top;mso-position-vertical-relative:text;margin-left:3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which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the 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70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72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73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74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740</Words>
  <Characters>4514</Characters>
  <CharactersWithSpaces>5336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