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UNITED  STATES</w: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4050" cy="68453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6845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6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69"/>
                            </w:tblGrid>
                            <w:tr>
                              <w:trPr/>
                              <w:tc>
                                <w:tcPr>
                                  <w:tcW w:w="16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5pt;height:53.9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16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69"/>
                      </w:tblGrid>
                      <w:tr>
                        <w:trPr/>
                        <w:tc>
                          <w:tcPr>
                            <w:tcW w:w="16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SECURITIES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 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AND EXCHANGE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 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COMMISSION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Washington, D.C. 20549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  <w:t>FORM 6-K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REPORT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FOREIGN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PRIVATE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ISSUER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PURSUANT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TO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RULE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13a-16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15d-16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UNDER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THE SECURITIES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EXCHANGE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ACT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1934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For the month of October, 2026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Commission File Number: 1-13546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  <w:t>STMicroelectronics N.V.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___________________________________________________________________________________________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(Name of Registrant)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WTC Schiphol Airport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Schiphol Boulevard 265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1118 BH Schiphol Airport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The Netherlands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___________________________________________________________________________________________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(Address of Principal Executive Offices)</w:t>
      </w:r>
    </w:p>
    <w:p>
      <w:pPr>
        <w:pStyle w:val="TextBody"/>
        <w:bidi w:val="0"/>
        <w:spacing w:lineRule="atLeast" w:line="185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Form 20-F</w:t>
      </w:r>
      <w:r>
        <w:rPr>
          <w:rFonts w:ascii="Wingdings 2;sans-serif" w:hAnsi="Wingdings 2;sans-serif"/>
          <w:b w:val="false"/>
          <w:i w:val="false"/>
          <w:caps w:val="false"/>
          <w:smallCaps w:val="false"/>
          <w:sz w:val="24"/>
          <w:shd w:fill="E4E4E4" w:val="clear"/>
        </w:rPr>
        <w:t>Q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           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Form 40-F 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>☐</w: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2610" cy="146685"/>
                <wp:effectExtent l="0" t="0" r="0" b="0"/>
                <wp:wrapNone/>
                <wp:docPr id="2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261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Indicate by check mark whether the registrant files or will file annual reports under cover of Form 20-F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3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Indicate by check mark whether the registrant files or will file annual reports under cover of Form 20-F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81660" cy="293370"/>
                <wp:effectExtent l="0" t="0" r="0" b="0"/>
                <wp:wrapNone/>
                <wp:docPr id="4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6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Form 40-F: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8pt;height:23.1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Form 40-F: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562850" cy="1699895"/>
            <wp:effectExtent l="0" t="0" r="0" b="0"/>
            <wp:docPr id="5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9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3245" cy="146685"/>
                <wp:effectExtent l="0" t="0" r="0" b="0"/>
                <wp:wrapNone/>
                <wp:docPr id="6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324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Enclosure: A press release dated October 19, 2026, announcing the results of trading in STMicroelectronics'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35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Enclosure: A press release dated October 19, 2026, announcing the results of trading in STMicroelectronics'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1975" cy="146685"/>
                <wp:effectExtent l="0" t="0" r="0" b="0"/>
                <wp:wrapNone/>
                <wp:docPr id="8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197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own shares as part of the previously announced share buy-back program for the period from October 12,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25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own shares as part of the previously announced share buy-back program for the period from October 12,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1047115" cy="293370"/>
                <wp:effectExtent l="0" t="0" r="0" b="0"/>
                <wp:wrapNone/>
                <wp:docPr id="10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11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October 16, 2026.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45pt;height:23.1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October 16, 2026.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2051685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61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204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  <w:t>STMicroelectronics announces status</w: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819785" cy="292100"/>
                <wp:effectExtent l="0" t="0" r="0" b="0"/>
                <wp:wrapNone/>
                <wp:docPr id="12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78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PR N°C3417C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5pt;height:23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PR N°C3417C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204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  <w:t>of common share repurchase program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/>
          <w:i/>
          <w:sz w:val="20"/>
          <w:shd w:fill="E4E4E4" w:val="clear"/>
        </w:rPr>
      </w:pPr>
      <w:r>
        <w:rPr>
          <w:rFonts w:ascii="Arial;sans-serif" w:hAnsi="Arial;sans-serif"/>
          <w:b/>
          <w:i/>
          <w:sz w:val="20"/>
          <w:shd w:fill="E4E4E4" w:val="clear"/>
        </w:rPr>
        <w:t>Disclosure of Transactions in Own Shares – Period from October 12, 2026 to October 16, 2026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 accordance with Article 5(1)(b) of the Market Abuse Regulation and Article 2(3) of </w: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5976620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3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470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4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15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(the Market Abuse Regulation) was to meet obligations arising from share option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(the Market Abuse Regulation) was to meet obligations arising from share option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6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17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programmes, or other allocations of shares, to employees or to members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programmes, or other allocations of shares, to employees or to members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8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19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administrative, management or supervisory bodies of the issuer or of an associate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administrative, management or supervisory bodies of the issuer or of an associate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0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48970" cy="350520"/>
                <wp:effectExtent l="0" t="0" r="0" b="0"/>
                <wp:wrapNone/>
                <wp:docPr id="21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97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company.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1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company.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175260"/>
                <wp:effectExtent l="0" t="0" r="0" b="0"/>
                <wp:wrapNone/>
                <wp:docPr id="22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The shares may be held in treasury prior to being used for such purpose and, to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The shares may be held in treasury prior to being used for such purpose and, to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3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1510" cy="175260"/>
                <wp:effectExtent l="0" t="0" r="0" b="0"/>
                <wp:wrapNone/>
                <wp:docPr id="24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extent that they are not ultimately needed for such purpose, they may be used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extent that they are not ultimately needed for such purpose, they may be used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6645910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5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062220" cy="350520"/>
                <wp:effectExtent l="0" t="0" r="0" b="0"/>
                <wp:wrapNone/>
                <wp:docPr id="26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222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any other lawful purpose under article 5(2) of the Market Abuse Regulation.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8.6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any other lawful purpose under article 5(2) of the Market Abuse Regulation.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27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The purpose of these transactions under article 5(2) of Regulation (EU) 596/2014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The purpose of these transactions under article 5(2) of Regulation (EU) 596/2014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28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Below is a summary of the repurchase transactions made in the course of the Period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Below is a summary of the repurchase transactions made in the course of the Period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9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30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in relation to the ordinary shares of STMicroelectronics (ISIN: NL0000226223),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in relation to the ordinary shares of STMicroelectronics (ISIN: NL0000226223),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1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922655" cy="350520"/>
                <wp:effectExtent l="0" t="0" r="0" b="0"/>
                <wp:wrapNone/>
                <wp:docPr id="32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26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detailed form.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6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detailed form.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642110" cy="350520"/>
                <wp:effectExtent l="0" t="0" r="0" b="0"/>
                <wp:wrapNone/>
                <wp:docPr id="33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21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Transactions in Period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9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  <w:t>Transactions in Period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53100" cy="2181860"/>
                <wp:effectExtent l="0" t="0" r="0" b="0"/>
                <wp:wrapNone/>
                <wp:docPr id="34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21818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55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2021"/>
                              <w:gridCol w:w="1526"/>
                              <w:gridCol w:w="2006"/>
                              <w:gridCol w:w="1841"/>
                              <w:gridCol w:w="2156"/>
                            </w:tblGrid>
                            <w:tr>
                              <w:trPr/>
                              <w:tc>
                                <w:tcPr>
                                  <w:tcW w:w="20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12-Oct-26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13-Oct-26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14-Oct-26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15-Oct-26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16-Oct-26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Total for Period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3pt;height:171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9550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2021"/>
                        <w:gridCol w:w="1526"/>
                        <w:gridCol w:w="2006"/>
                        <w:gridCol w:w="1841"/>
                        <w:gridCol w:w="2156"/>
                      </w:tblGrid>
                      <w:tr>
                        <w:trPr/>
                        <w:tc>
                          <w:tcPr>
                            <w:tcW w:w="20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12-Oct-26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13-Oct-26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14-Oct-26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15-Oct-26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16-Oct-26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Total for Period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350520"/>
                <wp:effectExtent l="0" t="0" r="0" b="0"/>
                <wp:wrapNone/>
                <wp:docPr id="35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Following the share buybacks detailed above, the Company holds in total 16,422,388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Following the share buybacks detailed above, the Company holds in total 16,422,388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6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37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treasury shares, which represents approximately 1.8% of the Company’s issued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treasury shares, which represents approximately 1.8% of the Company’s issued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8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905510" cy="350520"/>
                <wp:effectExtent l="0" t="0" r="0" b="0"/>
                <wp:wrapNone/>
                <wp:docPr id="39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5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share capital.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share capital.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40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STMicroelectronics N.V. (registered with the trade register under number 33194537)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STMicroelectronics N.V. (registered with the trade register under number 33194537)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3401695</wp:posOffset>
                </wp:positionH>
                <wp:positionV relativeFrom="line">
                  <wp:posOffset>635</wp:posOffset>
                </wp:positionV>
                <wp:extent cx="69215" cy="175260"/>
                <wp:effectExtent l="0" t="0" r="0" b="0"/>
                <wp:wrapNone/>
                <wp:docPr id="41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45pt;height:13.8pt;mso-wrap-distance-left:0pt;mso-wrap-distance-right:0pt;mso-wrap-distance-top:0pt;mso-wrap-distance-bottom:0pt;margin-top:0pt;mso-position-vertical:top;mso-position-vertical-relative:text;margin-left:26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3470910</wp:posOffset>
                </wp:positionH>
                <wp:positionV relativeFrom="line">
                  <wp:posOffset>635</wp:posOffset>
                </wp:positionV>
                <wp:extent cx="3176905" cy="175260"/>
                <wp:effectExtent l="0" t="0" r="0" b="0"/>
                <wp:wrapNone/>
                <wp:docPr id="42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69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-- STMicroelectronics N.V. (the “Company”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0.15pt;height:13.8pt;mso-wrap-distance-left:0pt;mso-wrap-distance-right:0pt;mso-wrap-distance-top:0pt;mso-wrap-distance-bottom:0pt;margin-top:0pt;mso-position-vertical:top;mso-position-vertical-relative:text;margin-left:27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-- STMicroelectronics N.V. (the “Company”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3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895"/>
                <wp:effectExtent l="0" t="0" r="0" b="0"/>
                <wp:wrapNone/>
                <wp:docPr id="44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89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“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STMicroelectronics”), a global semiconductor leader serving customers across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>“</w:t>
                      </w: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STMicroelectronics”), a global semiconductor leader serving customers across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5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46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spectrum of electronics applications, announces full details of its common share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spectrum of electronics applications, announces full details of its common share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7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48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repurchase program (the “Program”) disclosed via a press release dated June 21,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repurchase program (the “Program”) disclosed via a press release dated June 21,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9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50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2024. The Program was approved by a shareholder resolution dated May 22, 2024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2024. The Program was approved by a shareholder resolution dated May 22, 2024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1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006600" cy="350520"/>
                <wp:effectExtent l="0" t="0" r="0" b="0"/>
                <wp:wrapNone/>
                <wp:docPr id="52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and by the supervisory board.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8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and by the supervisory board.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487295" cy="175260"/>
                <wp:effectExtent l="0" t="0" r="0" b="0"/>
                <wp:wrapNone/>
                <wp:docPr id="53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72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AMSTERDAM – October 19,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5.8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  <w:t>AMSTERDAM – October 19,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4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55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(LEI: 213800Z8NOHIKRI42W10) announces the repurchase (by a broker acting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(LEI: 213800Z8NOHIKRI42W10) announces the repurchase (by a broker acting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6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57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the Company) on the regulated market of Euronext Paris, in the period between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the Company) on the regulated market of Euronext Paris, in the period between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8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175260"/>
                <wp:effectExtent l="0" t="0" r="0" b="0"/>
                <wp:wrapNone/>
                <wp:docPr id="59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October 12, 2026 to October 16, 2026 (the “Period”), of 492,285 ordinary shares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October 12, 2026 to October 16, 2026 (the “Period”), of 492,285 ordinary shares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60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61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(equal to 0.05% of its issued share capital) at the weighted average purchase price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(equal to 0.05% of its issued share capital) at the weighted average purchase price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62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63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per share of EUR 42.9537 and for an overall price of EUR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per share of EUR 42.9537 and for an overall price of EUR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6301105" cy="175260"/>
                <wp:effectExtent l="0" t="0" r="0" b="0"/>
                <wp:wrapNone/>
                <wp:docPr id="64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11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 xml:space="preserve">                                                                                                                                                  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1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 xml:space="preserve">                                                                                                                                                  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016000" cy="350520"/>
                <wp:effectExtent l="0" t="0" r="0" b="0"/>
                <wp:wrapNone/>
                <wp:docPr id="65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0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21,145,480.12.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21,145,480.12.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1219200" cy="350520"/>
                <wp:effectExtent l="0" t="0" r="0" b="0"/>
                <wp:wrapNone/>
                <wp:docPr id="66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Dates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transaction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27.6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Dates of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transaction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1219200</wp:posOffset>
                </wp:positionH>
                <wp:positionV relativeFrom="line">
                  <wp:posOffset>635</wp:posOffset>
                </wp:positionV>
                <wp:extent cx="914400" cy="525780"/>
                <wp:effectExtent l="0" t="0" r="0" b="0"/>
                <wp:wrapNone/>
                <wp:docPr id="67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257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Number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shares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purchased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41.4pt;mso-wrap-distance-left:0pt;mso-wrap-distance-right:0pt;mso-wrap-distance-top:0pt;mso-wrap-distance-bottom:0pt;margin-top:0pt;mso-position-vertical:top;mso-position-vertical-relative:text;margin-left: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Number of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shares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purchased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2133600</wp:posOffset>
                </wp:positionH>
                <wp:positionV relativeFrom="line">
                  <wp:posOffset>635</wp:posOffset>
                </wp:positionV>
                <wp:extent cx="1219200" cy="876300"/>
                <wp:effectExtent l="0" t="0" r="0" b="0"/>
                <wp:wrapNone/>
                <wp:docPr id="68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8763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Weighted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average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purchase price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per share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(EUR)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69pt;mso-wrap-distance-left:0pt;mso-wrap-distance-right:0pt;mso-wrap-distance-top:0pt;mso-wrap-distance-bottom:0pt;margin-top:0pt;mso-position-vertical:top;mso-position-vertical-relative:text;margin-left:1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Weighted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average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purchase price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per share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(EUR)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3352800</wp:posOffset>
                </wp:positionH>
                <wp:positionV relativeFrom="line">
                  <wp:posOffset>635</wp:posOffset>
                </wp:positionV>
                <wp:extent cx="1114425" cy="350520"/>
                <wp:effectExtent l="0" t="0" r="0" b="0"/>
                <wp:wrapNone/>
                <wp:docPr id="69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Total amount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paid (EUR)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27.6pt;mso-wrap-distance-left:0pt;mso-wrap-distance-right:0pt;mso-wrap-distance-top:0pt;mso-wrap-distance-bottom:0pt;margin-top:0pt;mso-position-vertical:top;mso-position-vertical-relative:text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Total amount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paid (EUR)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4467225</wp:posOffset>
                </wp:positionH>
                <wp:positionV relativeFrom="line">
                  <wp:posOffset>635</wp:posOffset>
                </wp:positionV>
                <wp:extent cx="1285875" cy="876300"/>
                <wp:effectExtent l="0" t="0" r="0" b="0"/>
                <wp:wrapNone/>
                <wp:docPr id="70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8763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Market on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which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shares were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bought (MIC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code)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1.25pt;height:69pt;mso-wrap-distance-left:0pt;mso-wrap-distance-right:0pt;mso-wrap-distance-top:0pt;mso-wrap-distance-bottom:0pt;margin-top:0pt;mso-position-vertical:top;mso-position-vertical-relative:text;margin-left:3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Market on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which the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shares were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bought (MIC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code)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Commission Delegated Regulation (EU) 2016/1052, a full breakdown of the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>individual trades in the Program are disclosed on the ST website (https://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>investors.st.com/stock-and-bond-information/share-buyback).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About STMicroelectronics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At ST, we are 49,000 creators and makers of semiconductor technologies mastering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the semiconductor supply chain with state-of-the-art manufacturing facilities. An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integrated device manufacturer, we work with more than 200,000 customers and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thousands of partners to design and build products, solutions, and ecosystems that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address their challenges and opportunities, and the need to support a more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sustainable world. Our technologies enable smarter mobility, more efficient power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and energy management, and the wide-scale deployment of cloud-connected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autonomous things. We are on track to be carbon neutral in all direct and indirect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emissions (scopes 1 and 2), product transportation, business travel, and employee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commuting emissions (our scope 3 focus), and to achieve our 100% renewable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electricity sourcing goal by the end of 2027. Further information can be found at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www.st.com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For more information, please contact: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INVESTOR RELATIONS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Jérôme Ramel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EVP Corporate Development &amp; Integrated External Communication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Tel: +41.22.929.59.20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jerome.ramel@st.com    </w:t>
      </w:r>
    </w:p>
    <w:p>
      <w:pPr>
        <w:pStyle w:val="TextBody"/>
        <w:bidi w:val="0"/>
        <w:spacing w:lineRule="atLeast" w:line="175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MEDIA RELATIONS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Alexis Breton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Group VP Corporate External Communications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Tel: +33.6.59.16.79.08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alexis.breton@st.com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SIGNATURES</w:t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146685"/>
                <wp:effectExtent l="0" t="0" r="0" b="0"/>
                <wp:wrapNone/>
                <wp:docPr id="71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Pursuant to the requirements of the Securities Exchange Act of 1934, the registrant has duly caused this report to</w:t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Pursuant to the requirements of the Securities Exchange Act of 1934, the registrant has duly caused this report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2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3538220" cy="293370"/>
                <wp:effectExtent l="0" t="0" r="0" b="0"/>
                <wp:wrapNone/>
                <wp:docPr id="73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82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be signed on its behalf by the undersigned, thereunto duly authorized.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8.6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be signed on its behalf by the undersigned, thereunto duly authorized.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53100" cy="1886585"/>
                <wp:effectExtent l="0" t="0" r="0" b="0"/>
                <wp:wrapNone/>
                <wp:docPr id="74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18865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404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601"/>
                              <w:gridCol w:w="109"/>
                              <w:gridCol w:w="109"/>
                              <w:gridCol w:w="3221"/>
                            </w:tblGrid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 xml:space="preserve">Date: 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3pt;height:148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4040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601"/>
                        <w:gridCol w:w="109"/>
                        <w:gridCol w:w="109"/>
                        <w:gridCol w:w="3221"/>
                      </w:tblGrid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Date: 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page">
                  <wp:posOffset>3790950</wp:posOffset>
                </wp:positionH>
                <wp:positionV relativeFrom="line">
                  <wp:posOffset>635</wp:posOffset>
                </wp:positionV>
                <wp:extent cx="1962150" cy="146685"/>
                <wp:effectExtent l="0" t="0" r="0" b="0"/>
                <wp:wrapNone/>
                <wp:docPr id="75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STMicroelectronics N.V.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4.5pt;height:11.55pt;mso-wrap-distance-left:0pt;mso-wrap-distance-right:0pt;mso-wrap-distance-top:0pt;mso-wrap-distance-bottom:0pt;margin-top:0pt;mso-position-vertical:top;mso-position-vertical-relative:text;margin-left:29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STMicroelectronics N.V.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Arial">
    <w:altName w:val="sans-serif"/>
    <w:charset w:val="01"/>
    <w:family w:val="auto"/>
    <w:pitch w:val="default"/>
  </w:font>
  <w:font w:name="Wingdings 2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739</Words>
  <Characters>4531</Characters>
  <CharactersWithSpaces>5355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