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82" w:lineRule="exact"/>
        <w:rPr>
          <w:sz w:val="24"/>
          <w:szCs w:val="24"/>
          <w:color w:val="auto"/>
        </w:rPr>
      </w:pPr>
    </w:p>
    <w:p>
      <w:pPr>
        <w:jc w:val="center"/>
        <w:ind w:left="500" w:right="519"/>
        <w:spacing w:after="0" w:line="275" w:lineRule="auto"/>
        <w:rPr>
          <w:sz w:val="20"/>
          <w:szCs w:val="20"/>
          <w:color w:val="auto"/>
        </w:rPr>
      </w:pPr>
      <w:r>
        <w:rPr>
          <w:rFonts w:ascii="Times New Roman" w:cs="Times New Roman" w:eastAsia="Times New Roman" w:hAnsi="Times New Roman"/>
          <w:sz w:val="22"/>
          <w:szCs w:val="22"/>
          <w:b w:val="1"/>
          <w:bCs w:val="1"/>
          <w:color w:val="231F20"/>
        </w:rPr>
        <w:t>REPORT OF FOREIGN PRIVATE ISSUER PURSUANT TO RULE 13a-16 OR 15d-16 UNDER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month of June,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7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WTC Schiphol Airport</w:t>
      </w:r>
    </w:p>
    <w:p>
      <w:pPr>
        <w:spacing w:after="0" w:line="2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0"/>
          <w:szCs w:val="20"/>
          <w:color w:val="auto"/>
        </w:rPr>
        <w:t>Schiphol Boulevard 265</w:t>
      </w:r>
    </w:p>
    <w:p>
      <w:pPr>
        <w:spacing w:after="0" w:line="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color w:val="auto"/>
        </w:rPr>
        <w:t>1118 BH Schiphol Airport</w:t>
      </w:r>
    </w:p>
    <w:p>
      <w:pPr>
        <w:spacing w:after="0" w:line="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0"/>
          <w:szCs w:val="20"/>
          <w:color w:val="auto"/>
        </w:rPr>
        <w:t>The Netherlands</w:t>
      </w:r>
    </w:p>
    <w:p>
      <w:pPr>
        <w:spacing w:after="0" w:line="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231F20"/>
        </w:rPr>
        <w:t>___________________________________________________________________________________________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Form 40-F:</w:t>
      </w:r>
    </w:p>
    <w:p>
      <w:pPr>
        <w:spacing w:after="0" w:line="150" w:lineRule="exact"/>
        <w:rPr>
          <w:sz w:val="24"/>
          <w:szCs w:val="24"/>
          <w:color w:val="auto"/>
        </w:rPr>
      </w:pPr>
    </w:p>
    <w:p>
      <w:pPr>
        <w:ind w:left="3680"/>
        <w:spacing w:after="0" w:line="230" w:lineRule="exact"/>
        <w:tabs>
          <w:tab w:leader="none" w:pos="550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560" w:right="519"/>
        <w:spacing w:after="0" w:line="282" w:lineRule="auto"/>
        <w:rPr>
          <w:sz w:val="20"/>
          <w:szCs w:val="20"/>
          <w:color w:val="auto"/>
        </w:rPr>
      </w:pPr>
      <w:r>
        <w:rPr>
          <w:rFonts w:ascii="Times New Roman" w:cs="Times New Roman" w:eastAsia="Times New Roman" w:hAnsi="Times New Roman"/>
          <w:sz w:val="18"/>
          <w:szCs w:val="18"/>
          <w:color w:val="auto"/>
        </w:rPr>
        <w:t>Enclosure: A press release dated June 2, 2026, announcing STMicroelectronics raises its revenue ambition for Data Centers amidst continued strong demand for AI infrastructure.</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 No: C3396C</w:t>
      </w:r>
    </w:p>
    <w:p>
      <w:pPr>
        <w:spacing w:after="0" w:line="233" w:lineRule="exact"/>
        <w:rPr>
          <w:sz w:val="20"/>
          <w:szCs w:val="20"/>
          <w:color w:val="auto"/>
        </w:rPr>
      </w:pPr>
    </w:p>
    <w:p>
      <w:pPr>
        <w:jc w:val="center"/>
        <w:ind w:left="1880" w:right="220"/>
        <w:spacing w:after="0" w:line="298" w:lineRule="auto"/>
        <w:rPr>
          <w:sz w:val="20"/>
          <w:szCs w:val="20"/>
          <w:color w:val="auto"/>
        </w:rPr>
      </w:pPr>
      <w:r>
        <w:rPr>
          <w:rFonts w:ascii="Arial" w:cs="Arial" w:eastAsia="Arial" w:hAnsi="Arial"/>
          <w:sz w:val="25"/>
          <w:szCs w:val="25"/>
          <w:b w:val="1"/>
          <w:bCs w:val="1"/>
          <w:color w:val="auto"/>
        </w:rPr>
        <w:t>STMicroelectronics raises its revenue ambition for Data Centers amidst continued strong demand for AI infrastructure</w:t>
      </w:r>
    </w:p>
    <w:p>
      <w:pPr>
        <w:spacing w:after="0" w:line="380" w:lineRule="exact"/>
        <w:rPr>
          <w:sz w:val="20"/>
          <w:szCs w:val="20"/>
          <w:color w:val="auto"/>
        </w:rPr>
      </w:pPr>
    </w:p>
    <w:p>
      <w:pPr>
        <w:ind w:left="440" w:right="459"/>
        <w:spacing w:after="0" w:line="255" w:lineRule="auto"/>
        <w:rPr>
          <w:sz w:val="20"/>
          <w:szCs w:val="20"/>
          <w:color w:val="auto"/>
        </w:rPr>
      </w:pPr>
      <w:r>
        <w:rPr>
          <w:rFonts w:ascii="Arial" w:cs="Arial" w:eastAsia="Arial" w:hAnsi="Arial"/>
          <w:sz w:val="20"/>
          <w:szCs w:val="20"/>
          <w:b w:val="1"/>
          <w:bCs w:val="1"/>
          <w:color w:val="auto"/>
        </w:rPr>
        <w:t xml:space="preserve">Geneva, June 2, 2026 </w:t>
      </w:r>
      <w:r>
        <w:rPr>
          <w:rFonts w:ascii="Arial" w:cs="Arial" w:eastAsia="Arial" w:hAnsi="Arial"/>
          <w:sz w:val="20"/>
          <w:szCs w:val="20"/>
          <w:color w:val="auto"/>
        </w:rPr>
        <w:t>- In light of continued strong AI infrastructure-led demand and based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on recent progress made on capacity ramp-up, </w:t>
      </w:r>
      <w:r>
        <w:rPr>
          <w:rFonts w:ascii="Arial" w:cs="Arial" w:eastAsia="Arial" w:hAnsi="Arial"/>
          <w:sz w:val="20"/>
          <w:szCs w:val="20"/>
          <w:b w:val="1"/>
          <w:bCs w:val="1"/>
          <w:color w:val="auto"/>
        </w:rPr>
        <w:t>STMicroelectronics (NYSE: STM</w:t>
      </w:r>
      <w:r>
        <w:rPr>
          <w:rFonts w:ascii="Arial" w:cs="Arial" w:eastAsia="Arial" w:hAnsi="Arial"/>
          <w:sz w:val="20"/>
          <w:szCs w:val="20"/>
          <w:color w:val="auto"/>
        </w:rPr>
        <w:t>), a global semiconductor leader serving customers across the spectrum of electronics applications, is raising its revenue ambition for Data Centers.</w:t>
      </w:r>
    </w:p>
    <w:p>
      <w:pPr>
        <w:spacing w:after="0" w:line="213" w:lineRule="exact"/>
        <w:rPr>
          <w:sz w:val="20"/>
          <w:szCs w:val="20"/>
          <w:color w:val="auto"/>
        </w:rPr>
      </w:pPr>
    </w:p>
    <w:p>
      <w:pPr>
        <w:ind w:left="440" w:right="519"/>
        <w:spacing w:after="0" w:line="255" w:lineRule="auto"/>
        <w:rPr>
          <w:sz w:val="20"/>
          <w:szCs w:val="20"/>
          <w:color w:val="auto"/>
        </w:rPr>
      </w:pPr>
      <w:r>
        <w:rPr>
          <w:rFonts w:ascii="Arial" w:cs="Arial" w:eastAsia="Arial" w:hAnsi="Arial"/>
          <w:sz w:val="20"/>
          <w:szCs w:val="20"/>
          <w:color w:val="auto"/>
        </w:rPr>
        <w:t>Data center revenues are now expected at about $1 billion in 2026 (compared to “nicely above $500 million” expected previously). Assuming the current dynamic continues and with the current engagements we have, revenues could double in 2027 (compared to “well above $1 billion” expected previously).</w:t>
      </w: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Arial" w:cs="Arial" w:eastAsia="Arial" w:hAnsi="Arial"/>
          <w:sz w:val="20"/>
          <w:szCs w:val="20"/>
          <w:b w:val="1"/>
          <w:bCs w:val="1"/>
          <w:u w:val="single" w:color="auto"/>
          <w:color w:val="auto"/>
        </w:rPr>
        <w:t>Forward-looking Information</w:t>
      </w:r>
    </w:p>
    <w:p>
      <w:pPr>
        <w:spacing w:after="0" w:line="258" w:lineRule="exact"/>
        <w:rPr>
          <w:sz w:val="20"/>
          <w:szCs w:val="20"/>
          <w:color w:val="auto"/>
        </w:rPr>
      </w:pPr>
    </w:p>
    <w:p>
      <w:pPr>
        <w:ind w:left="440" w:right="579"/>
        <w:spacing w:after="0" w:line="251" w:lineRule="auto"/>
        <w:rPr>
          <w:sz w:val="20"/>
          <w:szCs w:val="20"/>
          <w:color w:val="auto"/>
        </w:rPr>
      </w:pPr>
      <w:r>
        <w:rPr>
          <w:rFonts w:ascii="Arial" w:cs="Arial" w:eastAsia="Arial" w:hAnsi="Arial"/>
          <w:sz w:val="20"/>
          <w:szCs w:val="20"/>
          <w:i w:val="1"/>
          <w:iCs w:val="1"/>
          <w:color w:val="auto"/>
        </w:rPr>
        <w:t>Some of the statements contained in this release that are not historical facts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spacing w:after="0" w:line="206" w:lineRule="exact"/>
        <w:rPr>
          <w:sz w:val="20"/>
          <w:szCs w:val="20"/>
          <w:color w:val="auto"/>
        </w:rPr>
      </w:pPr>
    </w:p>
    <w:p>
      <w:pPr>
        <w:ind w:left="660" w:right="779" w:hanging="323"/>
        <w:spacing w:after="0" w:line="254"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changes in global trade policies, including the continuation, adoption and expansion of tariffs and trade barriers and sanctions, that are affecting and could further affect the macro-economic environment and are adversely impacting and could further adversely impact the demand for our products;</w:t>
      </w:r>
    </w:p>
    <w:p>
      <w:pPr>
        <w:spacing w:after="0" w:line="2" w:lineRule="exact"/>
        <w:rPr>
          <w:rFonts w:ascii="Arial" w:cs="Arial" w:eastAsia="Arial" w:hAnsi="Arial"/>
          <w:sz w:val="20"/>
          <w:szCs w:val="20"/>
          <w:color w:val="auto"/>
        </w:rPr>
      </w:pPr>
    </w:p>
    <w:p>
      <w:pPr>
        <w:ind w:left="660" w:right="559" w:hanging="323"/>
        <w:spacing w:after="0" w:line="248"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uncertain macro-economic and industry trends (such as inflation and fluctuations in supply chains), which are impacting and may further impact production capacity and end-market demand for our products;</w:t>
      </w:r>
    </w:p>
    <w:p>
      <w:pPr>
        <w:spacing w:after="0" w:line="2" w:lineRule="exact"/>
        <w:rPr>
          <w:rFonts w:ascii="Arial" w:cs="Arial" w:eastAsia="Arial" w:hAnsi="Arial"/>
          <w:sz w:val="20"/>
          <w:szCs w:val="20"/>
          <w:color w:val="auto"/>
        </w:rPr>
      </w:pPr>
    </w:p>
    <w:p>
      <w:pPr>
        <w:ind w:left="660" w:right="619" w:hanging="323"/>
        <w:spacing w:after="0" w:line="244"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customer demand that differs from projections which may require us to undertake transformation measures that may not be successful in realizing the expected benefits in full or at all;</w:t>
      </w:r>
    </w:p>
    <w:p>
      <w:pPr>
        <w:ind w:left="660" w:right="1079" w:hanging="323"/>
        <w:spacing w:after="0" w:line="253"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the ability to design, manufacture and sell innovative products in a rapidly changing technological environment;</w:t>
      </w:r>
    </w:p>
    <w:p>
      <w:pPr>
        <w:spacing w:after="0" w:line="1" w:lineRule="exact"/>
        <w:rPr>
          <w:rFonts w:ascii="Arial" w:cs="Arial" w:eastAsia="Arial" w:hAnsi="Arial"/>
          <w:sz w:val="20"/>
          <w:szCs w:val="20"/>
          <w:color w:val="auto"/>
        </w:rPr>
      </w:pPr>
    </w:p>
    <w:p>
      <w:pPr>
        <w:ind w:left="660" w:right="559" w:hanging="323"/>
        <w:spacing w:after="0" w:line="246"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2" w:lineRule="exact"/>
        <w:rPr>
          <w:rFonts w:ascii="Arial" w:cs="Arial" w:eastAsia="Arial" w:hAnsi="Arial"/>
          <w:sz w:val="20"/>
          <w:szCs w:val="20"/>
          <w:color w:val="auto"/>
        </w:rPr>
      </w:pPr>
    </w:p>
    <w:p>
      <w:pPr>
        <w:ind w:left="660" w:right="579" w:hanging="323"/>
        <w:spacing w:after="0" w:line="253"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unanticipated events or circumstances, which may impact our ability to execute our plans and/or meet the objectives of our research and development and manufacturing programs, which benefit from public funding;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660" w:right="1379" w:hanging="323"/>
        <w:spacing w:after="0" w:line="255"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financial difficulties with any of our major distributors or significant curtailment of purchases by key customers;</w:t>
      </w:r>
    </w:p>
    <w:p>
      <w:pPr>
        <w:spacing w:after="0" w:line="1" w:lineRule="exact"/>
        <w:rPr>
          <w:rFonts w:ascii="Arial" w:cs="Arial" w:eastAsia="Arial" w:hAnsi="Arial"/>
          <w:sz w:val="20"/>
          <w:szCs w:val="20"/>
          <w:color w:val="auto"/>
        </w:rPr>
      </w:pPr>
    </w:p>
    <w:p>
      <w:pPr>
        <w:ind w:left="660" w:right="599" w:hanging="323"/>
        <w:spacing w:after="0" w:line="248"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the loading, product mix, and manufacturing performance of our production facilities and/ or our required volume to fulfill capacity reserved with suppliers or third-party manufacturing providers;</w:t>
      </w:r>
    </w:p>
    <w:p>
      <w:pPr>
        <w:spacing w:after="0" w:line="2" w:lineRule="exact"/>
        <w:rPr>
          <w:rFonts w:ascii="Arial" w:cs="Arial" w:eastAsia="Arial" w:hAnsi="Arial"/>
          <w:sz w:val="20"/>
          <w:szCs w:val="20"/>
          <w:color w:val="auto"/>
        </w:rPr>
      </w:pPr>
    </w:p>
    <w:p>
      <w:pPr>
        <w:ind w:left="660" w:right="1039" w:hanging="323"/>
        <w:spacing w:after="0" w:line="293" w:lineRule="auto"/>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availability and costs of equipment, raw materials, utilities, third-party manufacturing services and technology, or other supplies required by our operations (including</w:t>
      </w:r>
    </w:p>
    <w:p>
      <w:pPr>
        <w:sectPr>
          <w:pgSz w:w="11900" w:h="16854" w:orient="portrait"/>
          <w:cols w:equalWidth="0" w:num="1">
            <w:col w:w="9019"/>
          </w:cols>
          <w:pgMar w:left="1440" w:top="1440" w:right="1440" w:bottom="0" w:gutter="0" w:footer="0" w:header="0"/>
        </w:sectPr>
      </w:pPr>
    </w:p>
    <w:bookmarkStart w:id="2" w:name="page3"/>
    <w:bookmarkEnd w:id="2"/>
    <w:p>
      <w:pPr>
        <w:ind w:left="660"/>
        <w:spacing w:after="0"/>
        <w:rPr>
          <w:sz w:val="20"/>
          <w:szCs w:val="20"/>
          <w:color w:val="auto"/>
        </w:rPr>
      </w:pPr>
      <w:r>
        <w:rPr>
          <w:rFonts w:ascii="Arial" w:cs="Arial" w:eastAsia="Arial" w:hAnsi="Arial"/>
          <w:sz w:val="20"/>
          <w:szCs w:val="20"/>
          <w:i w:val="1"/>
          <w:iCs w:val="1"/>
          <w:color w:val="auto"/>
        </w:rPr>
        <w:t>increasing costs resulting from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-74295</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660" w:right="619" w:hanging="319"/>
        <w:spacing w:after="0" w:line="246"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2" w:lineRule="exact"/>
        <w:rPr>
          <w:sz w:val="20"/>
          <w:szCs w:val="20"/>
          <w:color w:val="auto"/>
        </w:rPr>
      </w:pPr>
    </w:p>
    <w:p>
      <w:pPr>
        <w:ind w:left="660" w:right="919" w:hanging="319"/>
        <w:spacing w:after="0" w:line="246"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theft, loss, or misuse of personal data about our employees, customers, or other third parties, and breaches of data privacy legislation;</w:t>
      </w:r>
    </w:p>
    <w:p>
      <w:pPr>
        <w:spacing w:after="0" w:line="1" w:lineRule="exact"/>
        <w:rPr>
          <w:sz w:val="20"/>
          <w:szCs w:val="20"/>
          <w:color w:val="auto"/>
        </w:rPr>
      </w:pPr>
    </w:p>
    <w:p>
      <w:pPr>
        <w:ind w:left="660" w:right="559" w:hanging="319"/>
        <w:spacing w:after="0" w:line="253"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the impact of intellectual property claims by our competitors or other third parties, and our ability to obtain required licenses on reasonable terms and conditions;</w:t>
      </w:r>
    </w:p>
    <w:p>
      <w:pPr>
        <w:spacing w:after="0" w:line="1" w:lineRule="exact"/>
        <w:rPr>
          <w:sz w:val="20"/>
          <w:szCs w:val="20"/>
          <w:color w:val="auto"/>
        </w:rPr>
      </w:pPr>
    </w:p>
    <w:p>
      <w:pPr>
        <w:ind w:left="660" w:right="779" w:hanging="319"/>
        <w:spacing w:after="0" w:line="246"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2" w:lineRule="exact"/>
        <w:rPr>
          <w:sz w:val="20"/>
          <w:szCs w:val="20"/>
          <w:color w:val="auto"/>
        </w:rPr>
      </w:pPr>
    </w:p>
    <w:p>
      <w:pPr>
        <w:ind w:left="660" w:right="839" w:hanging="319"/>
        <w:spacing w:after="0" w:line="248"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variations in the foreign exchange markets and, more particularly, the U.S. dollar exchange rate as compared to the Euro and the other major currencies we use for our operations;</w:t>
      </w:r>
    </w:p>
    <w:p>
      <w:pPr>
        <w:spacing w:after="0" w:line="3" w:lineRule="exact"/>
        <w:rPr>
          <w:sz w:val="20"/>
          <w:szCs w:val="20"/>
          <w:color w:val="auto"/>
        </w:rPr>
      </w:pPr>
    </w:p>
    <w:p>
      <w:pPr>
        <w:ind w:left="660" w:right="739" w:hanging="319"/>
        <w:spacing w:after="0" w:line="246"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the outcome of ongoing litigation as well as the impact of any new litigation to which we may become a defendant;</w:t>
      </w:r>
    </w:p>
    <w:p>
      <w:pPr>
        <w:spacing w:after="0" w:line="1" w:lineRule="exact"/>
        <w:rPr>
          <w:sz w:val="20"/>
          <w:szCs w:val="20"/>
          <w:color w:val="auto"/>
        </w:rPr>
      </w:pPr>
    </w:p>
    <w:p>
      <w:pPr>
        <w:ind w:left="660" w:right="659" w:hanging="319"/>
        <w:spacing w:after="0" w:line="248"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product liability or warranty claims, claims based on epidemic or delivery failure, or other claims relating to our products, or recalls by our customers for products containing our parts;</w:t>
      </w:r>
    </w:p>
    <w:p>
      <w:pPr>
        <w:spacing w:after="0" w:line="3" w:lineRule="exact"/>
        <w:rPr>
          <w:sz w:val="20"/>
          <w:szCs w:val="20"/>
          <w:color w:val="auto"/>
        </w:rPr>
      </w:pPr>
    </w:p>
    <w:p>
      <w:pPr>
        <w:ind w:left="660" w:right="999" w:hanging="319"/>
        <w:spacing w:after="0" w:line="248"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natural events such as severe weather, earthquakes, tsunamis, volcano eruptions or other acts of nature, the effects of climate change, health risks and epidemics or pandemics in locations where we, our customers or our suppliers operate;</w:t>
      </w:r>
    </w:p>
    <w:p>
      <w:pPr>
        <w:spacing w:after="0" w:line="3" w:lineRule="exact"/>
        <w:rPr>
          <w:sz w:val="20"/>
          <w:szCs w:val="20"/>
          <w:color w:val="auto"/>
        </w:rPr>
      </w:pPr>
    </w:p>
    <w:p>
      <w:pPr>
        <w:ind w:left="660" w:right="519" w:hanging="319"/>
        <w:spacing w:after="0" w:line="247"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increased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spacing w:after="0" w:line="5" w:lineRule="exact"/>
        <w:rPr>
          <w:sz w:val="20"/>
          <w:szCs w:val="20"/>
          <w:color w:val="auto"/>
        </w:rPr>
      </w:pPr>
    </w:p>
    <w:p>
      <w:pPr>
        <w:ind w:left="660" w:right="879" w:hanging="319"/>
        <w:spacing w:after="0" w:line="244"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epidemics or pandemics, which may negatively impact the global economy in a significant manner for an extended period of time, and could also materially adversely affect our business and operating results;</w:t>
      </w:r>
    </w:p>
    <w:p>
      <w:pPr>
        <w:spacing w:after="0" w:line="1" w:lineRule="exact"/>
        <w:rPr>
          <w:sz w:val="20"/>
          <w:szCs w:val="20"/>
          <w:color w:val="auto"/>
        </w:rPr>
      </w:pPr>
    </w:p>
    <w:p>
      <w:pPr>
        <w:ind w:left="660" w:right="1419" w:hanging="319"/>
        <w:spacing w:after="0" w:line="253"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industry changes resulting from vertical and horizontal consolidation among our suppliers, competitors, and customers;</w:t>
      </w:r>
    </w:p>
    <w:p>
      <w:pPr>
        <w:spacing w:after="0" w:line="1" w:lineRule="exact"/>
        <w:rPr>
          <w:sz w:val="20"/>
          <w:szCs w:val="20"/>
          <w:color w:val="auto"/>
        </w:rPr>
      </w:pPr>
    </w:p>
    <w:p>
      <w:pPr>
        <w:jc w:val="both"/>
        <w:ind w:left="660" w:right="1139" w:hanging="319"/>
        <w:spacing w:after="0" w:line="244"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the ability to successfully ramp up new programs that could be impacted by factors beyond our control, including the availability of critical third-party components and performance of subcontractors in line with our expectations; and</w:t>
      </w:r>
    </w:p>
    <w:p>
      <w:pPr>
        <w:spacing w:after="0" w:line="1" w:lineRule="exact"/>
        <w:rPr>
          <w:sz w:val="20"/>
          <w:szCs w:val="20"/>
          <w:color w:val="auto"/>
        </w:rPr>
      </w:pPr>
    </w:p>
    <w:p>
      <w:pPr>
        <w:ind w:left="660" w:right="579" w:hanging="319"/>
        <w:spacing w:after="0" w:line="253" w:lineRule="auto"/>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200" w:lineRule="exact"/>
        <w:rPr>
          <w:sz w:val="20"/>
          <w:szCs w:val="20"/>
          <w:color w:val="auto"/>
        </w:rPr>
      </w:pPr>
    </w:p>
    <w:p>
      <w:pPr>
        <w:ind w:left="440" w:right="519"/>
        <w:spacing w:after="0" w:line="254" w:lineRule="auto"/>
        <w:rPr>
          <w:sz w:val="20"/>
          <w:szCs w:val="20"/>
          <w:color w:val="auto"/>
        </w:rPr>
      </w:pPr>
      <w:r>
        <w:rPr>
          <w:rFonts w:ascii="Arial" w:cs="Arial" w:eastAsia="Arial" w:hAnsi="Arial"/>
          <w:sz w:val="20"/>
          <w:szCs w:val="20"/>
          <w:i w:val="1"/>
          <w:iCs w:val="1"/>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right="539"/>
        <w:spacing w:after="0" w:line="252" w:lineRule="auto"/>
        <w:rPr>
          <w:sz w:val="20"/>
          <w:szCs w:val="20"/>
          <w:color w:val="auto"/>
        </w:rPr>
      </w:pPr>
      <w:r>
        <w:rPr>
          <w:rFonts w:ascii="Arial" w:cs="Arial" w:eastAsia="Arial" w:hAnsi="Arial"/>
          <w:sz w:val="20"/>
          <w:szCs w:val="20"/>
          <w:i w:val="1"/>
          <w:iCs w:val="1"/>
          <w:color w:val="auto"/>
        </w:rPr>
        <w:t>Some of these risk factors are set forth and are discussed in more detail in “Item 3. Key Information — Risk Factors” included in our Annual Report on Form 20-F for the year ended December 31, 2025 as filed with the Securities and Exchange Commission (“SEC”) on February 26, 2026. Should one or more of these risks or uncertainties materialize, or should underlying assumptions prove incorrect, actual results may vary materially from those described in this press release as anticipated, believed or expected. We do not intend, and do not assume any obligation, to update any industry information or forward-looking statements set forth in this release to reflect subsequent events or circumstances.</w:t>
      </w:r>
    </w:p>
    <w:p>
      <w:pPr>
        <w:sectPr>
          <w:pgSz w:w="11900" w:h="16838" w:orient="portrait"/>
          <w:cols w:equalWidth="0" w:num="1">
            <w:col w:w="9019"/>
          </w:cols>
          <w:pgMar w:left="1440" w:top="27" w:right="1440" w:bottom="0" w:gutter="0" w:footer="0" w:header="0"/>
        </w:sectPr>
      </w:pPr>
    </w:p>
    <w:p>
      <w:pPr>
        <w:spacing w:after="0" w:line="201" w:lineRule="exact"/>
        <w:rPr>
          <w:sz w:val="20"/>
          <w:szCs w:val="20"/>
          <w:color w:val="auto"/>
        </w:rPr>
      </w:pPr>
    </w:p>
    <w:p>
      <w:pPr>
        <w:jc w:val="both"/>
        <w:ind w:left="440" w:right="699"/>
        <w:spacing w:after="0" w:line="269" w:lineRule="auto"/>
        <w:rPr>
          <w:sz w:val="20"/>
          <w:szCs w:val="20"/>
          <w:color w:val="auto"/>
        </w:rPr>
      </w:pPr>
      <w:r>
        <w:rPr>
          <w:rFonts w:ascii="Arial" w:cs="Arial" w:eastAsia="Arial" w:hAnsi="Arial"/>
          <w:sz w:val="20"/>
          <w:szCs w:val="20"/>
          <w:i w:val="1"/>
          <w:iCs w:val="1"/>
          <w:color w:val="auto"/>
        </w:rPr>
        <w:t>Unfavorable changes in the above or other factors listed under “Item 3. Key Information — Risk Factors” from time to time in our SEC filings, could have a material adverse effect on our business and/or financial condition.</w:t>
      </w:r>
    </w:p>
    <w:p>
      <w:pPr>
        <w:sectPr>
          <w:pgSz w:w="11900" w:h="16838" w:orient="portrait"/>
          <w:cols w:equalWidth="0" w:num="1">
            <w:col w:w="9019"/>
          </w:cols>
          <w:pgMar w:left="1440" w:top="27" w:right="1440" w:bottom="0" w:gutter="0" w:footer="0" w:header="0"/>
          <w:type w:val="continuous"/>
        </w:sectPr>
      </w:pPr>
    </w:p>
    <w:bookmarkStart w:id="3" w:name="page4"/>
    <w:bookmarkEnd w:id="3"/>
    <w:p>
      <w:pPr>
        <w:ind w:left="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About STMicroelectronics</w:t>
      </w:r>
    </w:p>
    <w:p>
      <w:pPr>
        <w:spacing w:after="0" w:line="258" w:lineRule="exact"/>
        <w:rPr>
          <w:sz w:val="20"/>
          <w:szCs w:val="20"/>
          <w:color w:val="auto"/>
        </w:rPr>
      </w:pPr>
    </w:p>
    <w:p>
      <w:pPr>
        <w:ind w:left="440" w:right="519"/>
        <w:spacing w:after="0" w:line="251" w:lineRule="auto"/>
        <w:rPr>
          <w:sz w:val="20"/>
          <w:szCs w:val="20"/>
          <w:color w:val="auto"/>
        </w:rPr>
      </w:pPr>
      <w:r>
        <w:rPr>
          <w:rFonts w:ascii="Arial" w:cs="Arial" w:eastAsia="Arial" w:hAnsi="Arial"/>
          <w:sz w:val="20"/>
          <w:szCs w:val="20"/>
          <w:color w:val="auto"/>
        </w:rPr>
        <w:t>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www.st.com</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For more information, please contact:</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INVESTOR RELATIONS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Jérôme Ramel</w:t>
      </w:r>
    </w:p>
    <w:p>
      <w:pPr>
        <w:spacing w:after="0" w:line="4" w:lineRule="exact"/>
        <w:rPr>
          <w:sz w:val="20"/>
          <w:szCs w:val="20"/>
          <w:color w:val="auto"/>
        </w:rPr>
      </w:pPr>
    </w:p>
    <w:p>
      <w:pPr>
        <w:ind w:left="440" w:right="2139"/>
        <w:spacing w:after="0" w:line="246" w:lineRule="auto"/>
        <w:rPr>
          <w:sz w:val="20"/>
          <w:szCs w:val="20"/>
          <w:color w:val="auto"/>
        </w:rPr>
      </w:pPr>
      <w:r>
        <w:rPr>
          <w:rFonts w:ascii="Arial" w:cs="Arial" w:eastAsia="Arial" w:hAnsi="Arial"/>
          <w:sz w:val="22"/>
          <w:szCs w:val="22"/>
          <w:color w:val="auto"/>
        </w:rPr>
        <w:t>EVP Corporate Development &amp; Integrated External Communication Tel: +41.22.929.59.20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jerome.ramel@st.com</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MEDIA RELATIONS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Alexis Breton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Group VP Corporate External Communications</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 +33.6.59.16.79.08</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alexis.breton@st.com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4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auto"/>
                <w:highlight w:val="white"/>
              </w:rPr>
              <w:t>Lorenzo Grandi</w:t>
            </w:r>
          </w:p>
        </w:tc>
      </w:tr>
      <w:tr>
        <w:trPr>
          <w:trHeight w:val="20"/>
        </w:trPr>
        <w:tc>
          <w:tcPr>
            <w:tcW w:w="3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93"/>
        </w:trPr>
        <w:tc>
          <w:tcPr>
            <w:tcW w:w="3020" w:type="dxa"/>
            <w:vAlign w:val="bottom"/>
          </w:tcPr>
          <w:p>
            <w:pPr>
              <w:spacing w:after="0"/>
              <w:rPr>
                <w:sz w:val="24"/>
                <w:szCs w:val="24"/>
                <w:color w:val="auto"/>
              </w:rPr>
            </w:pPr>
          </w:p>
        </w:tc>
        <w:tc>
          <w:tcPr>
            <w:tcW w:w="2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highlight w:val="white"/>
              </w:rPr>
              <w:t>Lorenzo Grandi</w:t>
            </w:r>
          </w:p>
        </w:tc>
      </w:tr>
      <w:tr>
        <w:trPr>
          <w:trHeight w:val="256"/>
        </w:trPr>
        <w:tc>
          <w:tcPr>
            <w:tcW w:w="3020" w:type="dxa"/>
            <w:vAlign w:val="bottom"/>
          </w:tcPr>
          <w:p>
            <w:pPr>
              <w:spacing w:after="0"/>
              <w:rPr>
                <w:sz w:val="22"/>
                <w:szCs w:val="22"/>
                <w:color w:val="auto"/>
              </w:rPr>
            </w:pPr>
          </w:p>
        </w:tc>
        <w:tc>
          <w:tcPr>
            <w:tcW w:w="2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President and Chief Financial Officer</w:t>
            </w:r>
          </w:p>
        </w:tc>
      </w:tr>
    </w:tbl>
    <w:p>
      <w:pPr>
        <w:sectPr>
          <w:pgSz w:w="11900" w:h="16838" w:orient="portrait"/>
          <w:cols w:equalWidth="0" w:num="1">
            <w:col w:w="9019"/>
          </w:cols>
          <w:pgMar w:left="1440" w:top="399" w:right="1440" w:bottom="285"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50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508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2026-06-02T08:11:38Z</dcterms:created>
  <dcterms:modified xsi:type="dcterms:W3CDTF">2026-06-02T08:11:38Z</dcterms:modified>
</cp:coreProperties>
</file>