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172720</wp:posOffset>
            </wp:positionV>
            <wp:extent cx="7132320" cy="10431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31780"/>
                    </a:xfrm>
                    <a:prstGeom prst="rect">
                      <a:avLst/>
                    </a:prstGeom>
                    <a:noFill/>
                  </pic:spPr>
                </pic:pic>
              </a:graphicData>
            </a:graphic>
          </wp:anchor>
        </w:drawing>
      </w: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Washington, D.C. 20549</w:t>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82" w:lineRule="exact"/>
        <w:rPr>
          <w:sz w:val="24"/>
          <w:szCs w:val="24"/>
          <w:color w:val="auto"/>
        </w:rPr>
      </w:pPr>
    </w:p>
    <w:p>
      <w:pPr>
        <w:jc w:val="center"/>
        <w:ind w:left="500" w:right="519"/>
        <w:spacing w:after="0" w:line="287" w:lineRule="auto"/>
        <w:rPr>
          <w:sz w:val="20"/>
          <w:szCs w:val="20"/>
          <w:color w:val="auto"/>
        </w:rPr>
      </w:pPr>
      <w:r>
        <w:rPr>
          <w:rFonts w:ascii="Times New Roman" w:cs="Times New Roman" w:eastAsia="Times New Roman" w:hAnsi="Times New Roman"/>
          <w:sz w:val="22"/>
          <w:szCs w:val="22"/>
          <w:b w:val="1"/>
          <w:bCs w:val="1"/>
          <w:color w:val="231F20"/>
        </w:rPr>
        <w:t>REPORT OF FOREIGN PRIVATE ISSUER PURSUANT TO RULE 13a-16 OR 15d-16 UNDER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For the month of May,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Commission File Number: 1-13546</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STMicroelectronics N.V.</w:t>
      </w:r>
    </w:p>
    <w:p>
      <w:pPr>
        <w:spacing w:after="0" w:line="9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231F20"/>
        </w:rPr>
        <w:t>___________________________________________________________________________________________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(Name of Registrant)</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0"/>
          <w:szCs w:val="20"/>
          <w:color w:val="auto"/>
        </w:rPr>
        <w:t>WTC Schiphol Airport</w:t>
      </w:r>
    </w:p>
    <w:p>
      <w:pPr>
        <w:spacing w:after="0" w:line="2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0"/>
          <w:szCs w:val="20"/>
          <w:color w:val="auto"/>
        </w:rPr>
        <w:t>Schiphol Boulevard 265</w:t>
      </w:r>
    </w:p>
    <w:p>
      <w:pPr>
        <w:spacing w:after="0" w:line="1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0"/>
          <w:szCs w:val="20"/>
          <w:color w:val="auto"/>
        </w:rPr>
        <w:t>1118 BH Schiphol Airport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Netherlands</w:t>
      </w:r>
    </w:p>
    <w:p>
      <w:pPr>
        <w:spacing w:after="0" w:line="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231F20"/>
        </w:rPr>
        <w:t>___________________________________________________________________________________________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w:t>
      </w:r>
    </w:p>
    <w:p>
      <w:pPr>
        <w:spacing w:after="0" w:line="2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Form 40-F:</w:t>
      </w:r>
    </w:p>
    <w:p>
      <w:pPr>
        <w:spacing w:after="0" w:line="150" w:lineRule="exact"/>
        <w:rPr>
          <w:sz w:val="24"/>
          <w:szCs w:val="24"/>
          <w:color w:val="auto"/>
        </w:rPr>
      </w:pPr>
    </w:p>
    <w:p>
      <w:pPr>
        <w:ind w:left="3680"/>
        <w:spacing w:after="0" w:line="230" w:lineRule="exact"/>
        <w:tabs>
          <w:tab w:leader="none" w:pos="5500" w:val="left"/>
        </w:tabs>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5"/>
          <w:szCs w:val="15"/>
          <w:b w:val="1"/>
          <w:bCs w:val="1"/>
          <w:color w:val="auto"/>
        </w:rPr>
        <w:t>Q</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560" w:right="1099"/>
        <w:spacing w:after="0" w:line="282" w:lineRule="auto"/>
        <w:rPr>
          <w:sz w:val="20"/>
          <w:szCs w:val="20"/>
          <w:color w:val="auto"/>
        </w:rPr>
      </w:pPr>
      <w:r>
        <w:rPr>
          <w:rFonts w:ascii="Times New Roman" w:cs="Times New Roman" w:eastAsia="Times New Roman" w:hAnsi="Times New Roman"/>
          <w:sz w:val="18"/>
          <w:szCs w:val="18"/>
          <w:color w:val="auto"/>
        </w:rPr>
        <w:t>Enclosure: A press release dated May 27, 2026, announcing the approval of all resolutions at the 2026 STMicroelectronics’ Annual General Meeting of Shareholders.</w:t>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PR N°C3394C</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left="1940" w:right="140"/>
        <w:spacing w:after="0" w:line="309" w:lineRule="auto"/>
        <w:rPr>
          <w:sz w:val="20"/>
          <w:szCs w:val="20"/>
          <w:color w:val="auto"/>
        </w:rPr>
      </w:pPr>
      <w:r>
        <w:rPr>
          <w:rFonts w:ascii="Arial" w:cs="Arial" w:eastAsia="Arial" w:hAnsi="Arial"/>
          <w:sz w:val="25"/>
          <w:szCs w:val="25"/>
          <w:b w:val="1"/>
          <w:bCs w:val="1"/>
          <w:color w:val="auto"/>
        </w:rPr>
        <w:t>All resolutions approved at the 2026 STMicroelectronics’ Annual General Meeting of Shareholders</w:t>
      </w:r>
    </w:p>
    <w:p>
      <w:pPr>
        <w:spacing w:after="0" w:line="354" w:lineRule="exact"/>
        <w:rPr>
          <w:sz w:val="20"/>
          <w:szCs w:val="20"/>
          <w:color w:val="auto"/>
        </w:rPr>
      </w:pPr>
    </w:p>
    <w:p>
      <w:pPr>
        <w:ind w:left="440" w:right="679"/>
        <w:spacing w:after="0" w:line="260" w:lineRule="auto"/>
        <w:rPr>
          <w:sz w:val="20"/>
          <w:szCs w:val="20"/>
          <w:color w:val="auto"/>
        </w:rPr>
      </w:pPr>
      <w:r>
        <w:rPr>
          <w:rFonts w:ascii="Arial" w:cs="Arial" w:eastAsia="Arial" w:hAnsi="Arial"/>
          <w:sz w:val="20"/>
          <w:szCs w:val="20"/>
          <w:b w:val="1"/>
          <w:bCs w:val="1"/>
          <w:color w:val="auto"/>
        </w:rPr>
        <w:t xml:space="preserve">Amsterdam, May 27, 2026 </w:t>
      </w:r>
      <w:r>
        <w:rPr>
          <w:rFonts w:ascii="Arial" w:cs="Arial" w:eastAsia="Arial" w:hAnsi="Arial"/>
          <w:sz w:val="20"/>
          <w:szCs w:val="20"/>
          <w:color w:val="auto"/>
        </w:rPr>
        <w:t>-</w:t>
      </w:r>
      <w:r>
        <w:rPr>
          <w:rFonts w:ascii="Arial" w:cs="Arial" w:eastAsia="Arial" w:hAnsi="Arial"/>
          <w:sz w:val="20"/>
          <w:szCs w:val="20"/>
          <w:b w:val="1"/>
          <w:bCs w:val="1"/>
          <w:color w:val="auto"/>
        </w:rPr>
        <w:t xml:space="preserve"> STMicroelectronics (NYSE: STM), </w:t>
      </w:r>
      <w:r>
        <w:rPr>
          <w:rFonts w:ascii="Arial" w:cs="Arial" w:eastAsia="Arial" w:hAnsi="Arial"/>
          <w:sz w:val="20"/>
          <w:szCs w:val="20"/>
          <w:color w:val="auto"/>
        </w:rPr>
        <w:t>a global semiconductor</w:t>
      </w:r>
      <w:r>
        <w:rPr>
          <w:rFonts w:ascii="Arial" w:cs="Arial" w:eastAsia="Arial" w:hAnsi="Arial"/>
          <w:sz w:val="20"/>
          <w:szCs w:val="20"/>
          <w:b w:val="1"/>
          <w:bCs w:val="1"/>
          <w:color w:val="auto"/>
        </w:rPr>
        <w:t xml:space="preserve"> </w:t>
      </w:r>
      <w:r>
        <w:rPr>
          <w:rFonts w:ascii="Arial" w:cs="Arial" w:eastAsia="Arial" w:hAnsi="Arial"/>
          <w:sz w:val="20"/>
          <w:szCs w:val="20"/>
          <w:color w:val="auto"/>
        </w:rPr>
        <w:t>leader serving customers across the spectrum of electronics applications, announced the results related to the voting items of its 2026 Annual General Meeting of Shareholders (the “2026 AGM”), which was held today in Amsterdam, the Netherlands.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All the resolutions were approved by the Shareholders:</w:t>
      </w:r>
    </w:p>
    <w:p>
      <w:pPr>
        <w:spacing w:after="0" w:line="243" w:lineRule="exact"/>
        <w:rPr>
          <w:sz w:val="20"/>
          <w:szCs w:val="20"/>
          <w:color w:val="auto"/>
        </w:rPr>
      </w:pPr>
    </w:p>
    <w:p>
      <w:pPr>
        <w:ind w:left="1080" w:right="699" w:hanging="316"/>
        <w:spacing w:after="0" w:line="242"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adoption of the Company's statutory annual accounts for the year ended December 31, 2025, prepared in accordance with International Financial Reporting Standards (IFRS). The 2025 statutory annual accounts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were filed with the Netherlands Authority for the Financial Markets (AFM) on March 26, 2026 and are posted on the Company’s website (</w:t>
      </w:r>
      <w:r>
        <w:rPr>
          <w:rFonts w:ascii="Arial" w:cs="Arial" w:eastAsia="Arial" w:hAnsi="Arial"/>
          <w:sz w:val="20"/>
          <w:szCs w:val="20"/>
          <w:color w:val="0563C1"/>
        </w:rPr>
        <w:t>www.st.com</w:t>
      </w:r>
      <w:r>
        <w:rPr>
          <w:rFonts w:ascii="Arial" w:cs="Arial" w:eastAsia="Arial" w:hAnsi="Arial"/>
          <w:sz w:val="20"/>
          <w:szCs w:val="20"/>
          <w:color w:val="auto"/>
        </w:rPr>
        <w:t>) and the AFM’s website (</w:t>
      </w:r>
      <w:r>
        <w:rPr>
          <w:rFonts w:ascii="Arial" w:cs="Arial" w:eastAsia="Arial" w:hAnsi="Arial"/>
          <w:sz w:val="20"/>
          <w:szCs w:val="20"/>
          <w:color w:val="0563C1"/>
        </w:rPr>
        <w:t>www.afm.nl</w:t>
      </w:r>
      <w:r>
        <w:rPr>
          <w:rFonts w:ascii="Arial" w:cs="Arial" w:eastAsia="Arial" w:hAnsi="Arial"/>
          <w:sz w:val="20"/>
          <w:szCs w:val="20"/>
          <w:color w:val="auto"/>
        </w:rPr>
        <w:t>);</w:t>
      </w:r>
    </w:p>
    <w:p>
      <w:pPr>
        <w:spacing w:after="0" w:line="223" w:lineRule="exact"/>
        <w:rPr>
          <w:rFonts w:ascii="Times New Roman" w:cs="Times New Roman" w:eastAsia="Times New Roman" w:hAnsi="Times New Roman"/>
          <w:sz w:val="20"/>
          <w:szCs w:val="20"/>
          <w:color w:val="auto"/>
        </w:rPr>
      </w:pPr>
    </w:p>
    <w:p>
      <w:pPr>
        <w:ind w:left="1080" w:right="659" w:hanging="316"/>
        <w:spacing w:after="0" w:line="254"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distribution of a cash dividend of US$ 0.36 per outstanding share of the Company’s common stock, to be distributed in quarterly installments of US$ 0.09 in each of the second, third and fourth quarters of 2026 and first quarter of 2027 to shareholders of record in the month of each quarterly payment as per the table below;</w:t>
      </w:r>
    </w:p>
    <w:p>
      <w:pPr>
        <w:spacing w:after="0" w:line="199" w:lineRule="exact"/>
        <w:rPr>
          <w:rFonts w:ascii="Times New Roman" w:cs="Times New Roman" w:eastAsia="Times New Roman" w:hAnsi="Times New Roman"/>
          <w:sz w:val="20"/>
          <w:szCs w:val="20"/>
          <w:color w:val="auto"/>
        </w:rPr>
      </w:pPr>
    </w:p>
    <w:p>
      <w:pPr>
        <w:ind w:left="1080" w:right="719" w:hanging="316"/>
        <w:spacing w:after="0" w:line="285"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reappointment of Mr. Frédéric Sanchez, as member of the Supervisory Board, for a three-year term expiring at the end of the 2029 AGM;</w:t>
      </w:r>
    </w:p>
    <w:p>
      <w:pPr>
        <w:spacing w:after="0" w:line="168" w:lineRule="exact"/>
        <w:rPr>
          <w:rFonts w:ascii="Times New Roman" w:cs="Times New Roman" w:eastAsia="Times New Roman" w:hAnsi="Times New Roman"/>
          <w:sz w:val="20"/>
          <w:szCs w:val="20"/>
          <w:color w:val="auto"/>
        </w:rPr>
      </w:pPr>
    </w:p>
    <w:p>
      <w:pPr>
        <w:ind w:left="1080" w:right="779" w:hanging="316"/>
        <w:spacing w:after="0" w:line="285"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approval of the stock-based portion of the compensation of the President and CEO;</w:t>
      </w:r>
    </w:p>
    <w:p>
      <w:pPr>
        <w:spacing w:after="0" w:line="168" w:lineRule="exact"/>
        <w:rPr>
          <w:rFonts w:ascii="Times New Roman" w:cs="Times New Roman" w:eastAsia="Times New Roman" w:hAnsi="Times New Roman"/>
          <w:sz w:val="20"/>
          <w:szCs w:val="20"/>
          <w:color w:val="auto"/>
        </w:rPr>
      </w:pPr>
    </w:p>
    <w:p>
      <w:pPr>
        <w:ind w:left="1080" w:right="779" w:hanging="316"/>
        <w:spacing w:after="0" w:line="271"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approval of the stock-based portion of the compensation of the President and CFO;</w:t>
      </w:r>
    </w:p>
    <w:p>
      <w:pPr>
        <w:spacing w:after="0" w:line="195" w:lineRule="exact"/>
        <w:rPr>
          <w:rFonts w:ascii="Times New Roman" w:cs="Times New Roman" w:eastAsia="Times New Roman" w:hAnsi="Times New Roman"/>
          <w:sz w:val="20"/>
          <w:szCs w:val="20"/>
          <w:color w:val="auto"/>
        </w:rPr>
      </w:pPr>
    </w:p>
    <w:p>
      <w:pPr>
        <w:ind w:left="1080" w:right="719" w:hanging="316"/>
        <w:spacing w:after="0" w:line="271"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authorization to the Managing Board, until the conclusion of the 2027 AGM, to repurchase shares, subject to the approval of the Supervisory Board;</w:t>
      </w:r>
    </w:p>
    <w:p>
      <w:pPr>
        <w:spacing w:after="0" w:line="181" w:lineRule="exact"/>
        <w:rPr>
          <w:rFonts w:ascii="Times New Roman" w:cs="Times New Roman" w:eastAsia="Times New Roman" w:hAnsi="Times New Roman"/>
          <w:sz w:val="20"/>
          <w:szCs w:val="20"/>
          <w:color w:val="auto"/>
        </w:rPr>
      </w:pPr>
    </w:p>
    <w:p>
      <w:pPr>
        <w:ind w:left="1080" w:right="899" w:hanging="316"/>
        <w:spacing w:after="0" w:line="259" w:lineRule="auto"/>
        <w:tabs>
          <w:tab w:leader="none" w:pos="108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delegation to the Supervisory Board of the authority to issue new common shares, to grant rights to subscribe for such shares, and to limit and/or exclude existing shareholders’ pre-emptive rights on common shares, until the end of the 2027 AGM;</w:t>
      </w:r>
    </w:p>
    <w:p>
      <w:pPr>
        <w:spacing w:after="0" w:line="304" w:lineRule="exact"/>
        <w:rPr>
          <w:sz w:val="20"/>
          <w:szCs w:val="20"/>
          <w:color w:val="auto"/>
        </w:rPr>
      </w:pPr>
    </w:p>
    <w:p>
      <w:pPr>
        <w:ind w:left="440" w:right="519"/>
        <w:spacing w:after="0" w:line="230" w:lineRule="auto"/>
        <w:tabs>
          <w:tab w:leader="none" w:pos="634"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i w:val="1"/>
          <w:iCs w:val="1"/>
          <w:color w:val="auto"/>
        </w:rPr>
        <w:t>The Annual Report includes the sustainability statement which is prepared based on the general principles of the Corporate Sustainability Reporting Directive (CSRD).</w:t>
      </w:r>
    </w:p>
    <w:p>
      <w:pPr>
        <w:sectPr>
          <w:pgSz w:w="11900" w:h="16838" w:orient="portrait"/>
          <w:cols w:equalWidth="0" w:num="1">
            <w:col w:w="9019"/>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80" w:hanging="316"/>
        <w:spacing w:after="0"/>
        <w:tabs>
          <w:tab w:leader="none" w:pos="10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discharge of the members of the Managing Board; and</w:t>
      </w:r>
    </w:p>
    <w:p>
      <w:pPr>
        <w:spacing w:after="0" w:line="241" w:lineRule="exact"/>
        <w:rPr>
          <w:rFonts w:ascii="Times New Roman" w:cs="Times New Roman" w:eastAsia="Times New Roman" w:hAnsi="Times New Roman"/>
          <w:sz w:val="20"/>
          <w:szCs w:val="20"/>
          <w:color w:val="auto"/>
        </w:rPr>
      </w:pPr>
    </w:p>
    <w:p>
      <w:pPr>
        <w:ind w:left="1080" w:hanging="316"/>
        <w:spacing w:after="0"/>
        <w:tabs>
          <w:tab w:leader="none" w:pos="10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discharge of the members of the Supervisory Board.</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complete agenda and all relevant detailed information concerning the 2026 AGM, as</w:t>
      </w:r>
    </w:p>
    <w:p>
      <w:pPr>
        <w:sectPr>
          <w:pgSz w:w="11900" w:h="16838" w:orient="portrait"/>
          <w:cols w:equalWidth="0" w:num="1">
            <w:col w:w="9019"/>
          </w:cols>
          <w:pgMar w:left="1440" w:top="1440" w:right="1440" w:bottom="0" w:gutter="0" w:footer="0" w:header="0"/>
          <w:type w:val="continuous"/>
        </w:sectPr>
      </w:pPr>
    </w:p>
    <w:bookmarkStart w:id="2" w:name="page3"/>
    <w:bookmarkEnd w:id="2"/>
    <w:p>
      <w:pPr>
        <w:ind w:left="440" w:right="1060"/>
        <w:spacing w:after="0" w:line="214" w:lineRule="auto"/>
        <w:rPr>
          <w:sz w:val="20"/>
          <w:szCs w:val="20"/>
          <w:color w:val="auto"/>
        </w:rPr>
      </w:pPr>
      <w:r>
        <w:rPr>
          <w:rFonts w:ascii="Arial" w:cs="Arial" w:eastAsia="Arial" w:hAnsi="Arial"/>
          <w:sz w:val="20"/>
          <w:szCs w:val="20"/>
          <w:color w:val="auto"/>
        </w:rPr>
        <w:t>well as related AGM materials, are available on the Company’s website (www.st.com) and made available to shareholders in compliance with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-219075</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6" w:lineRule="exact"/>
        <w:rPr>
          <w:sz w:val="20"/>
          <w:szCs w:val="20"/>
          <w:color w:val="auto"/>
        </w:rPr>
      </w:pPr>
    </w:p>
    <w:p>
      <w:pPr>
        <w:ind w:left="440" w:right="1000"/>
        <w:spacing w:after="0" w:line="271" w:lineRule="auto"/>
        <w:rPr>
          <w:sz w:val="20"/>
          <w:szCs w:val="20"/>
          <w:color w:val="auto"/>
        </w:rPr>
      </w:pPr>
      <w:r>
        <w:rPr>
          <w:rFonts w:ascii="Arial" w:cs="Arial" w:eastAsia="Arial" w:hAnsi="Arial"/>
          <w:sz w:val="20"/>
          <w:szCs w:val="20"/>
          <w:color w:val="auto"/>
        </w:rPr>
        <w:t>The draft minutes of the AGM will be posted on the General Meeting of Shareholders page of the Company’s website (</w:t>
      </w:r>
      <w:r>
        <w:rPr>
          <w:rFonts w:ascii="Arial" w:cs="Arial" w:eastAsia="Arial" w:hAnsi="Arial"/>
          <w:sz w:val="20"/>
          <w:szCs w:val="20"/>
          <w:color w:val="0563C1"/>
        </w:rPr>
        <w:t>www.st.com</w:t>
      </w:r>
      <w:r>
        <w:rPr>
          <w:rFonts w:ascii="Arial" w:cs="Arial" w:eastAsia="Arial" w:hAnsi="Arial"/>
          <w:sz w:val="20"/>
          <w:szCs w:val="20"/>
          <w:color w:val="auto"/>
        </w:rPr>
        <w:t>) within 30 days following the 2026 AGM.</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table below summarizes the full schedule for the quarterly dividends: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rPr>
              <w:t>Transfer between New York and</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Dutch registered shares restricted:</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20" w:type="dxa"/>
            <w:vAlign w:val="bottom"/>
            <w:tcBorders>
              <w:right w:val="single" w:sz="8" w:color="auto"/>
            </w:tcBorders>
            <w:gridSpan w:val="3"/>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20" w:type="dxa"/>
            <w:vAlign w:val="bottom"/>
            <w:tcBorders>
              <w:right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Europe</w:t>
            </w:r>
          </w:p>
        </w:tc>
        <w:tc>
          <w:tcPr>
            <w:tcW w:w="1100" w:type="dxa"/>
            <w:vAlign w:val="bottom"/>
            <w:tcBorders>
              <w:top w:val="single" w:sz="8" w:color="auto"/>
              <w:right w:val="single" w:sz="8" w:color="auto"/>
            </w:tcBorders>
          </w:tcPr>
          <w:p>
            <w:pPr>
              <w:spacing w:after="0"/>
              <w:rPr>
                <w:sz w:val="23"/>
                <w:szCs w:val="23"/>
                <w:color w:val="auto"/>
              </w:rPr>
            </w:pPr>
          </w:p>
        </w:tc>
        <w:tc>
          <w:tcPr>
            <w:tcW w:w="2280" w:type="dxa"/>
            <w:vAlign w:val="bottom"/>
            <w:tcBorders>
              <w:top w:val="single" w:sz="8" w:color="auto"/>
              <w:right w:val="single" w:sz="8" w:color="auto"/>
            </w:tcBorders>
            <w:gridSpan w:val="2"/>
          </w:tcPr>
          <w:p>
            <w:pPr>
              <w:ind w:left="800"/>
              <w:spacing w:after="0"/>
              <w:rPr>
                <w:sz w:val="20"/>
                <w:szCs w:val="20"/>
                <w:color w:val="auto"/>
              </w:rPr>
            </w:pPr>
            <w:r>
              <w:rPr>
                <w:rFonts w:ascii="Arial" w:cs="Arial" w:eastAsia="Arial" w:hAnsi="Arial"/>
                <w:sz w:val="16"/>
                <w:szCs w:val="16"/>
                <w:b w:val="1"/>
                <w:bCs w:val="1"/>
                <w:color w:val="auto"/>
              </w:rPr>
              <w:t>in NYSE</w:t>
            </w:r>
          </w:p>
        </w:tc>
        <w:tc>
          <w:tcPr>
            <w:tcW w:w="24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20" w:type="dxa"/>
            <w:vAlign w:val="bottom"/>
            <w:tcBorders>
              <w:right w:val="single" w:sz="8" w:color="auto"/>
            </w:tcBorders>
          </w:tcPr>
          <w:p>
            <w:pPr>
              <w:spacing w:after="0"/>
              <w:rPr>
                <w:sz w:val="20"/>
                <w:szCs w:val="20"/>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Ex-dividend</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rPr>
              <w:t>Record</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Payment</w:t>
            </w:r>
          </w:p>
        </w:tc>
        <w:tc>
          <w:tcPr>
            <w:tcW w:w="1120" w:type="dxa"/>
            <w:vAlign w:val="bottom"/>
          </w:tcPr>
          <w:p>
            <w:pPr>
              <w:ind w:left="120"/>
              <w:spacing w:after="0"/>
              <w:rPr>
                <w:sz w:val="20"/>
                <w:szCs w:val="20"/>
                <w:color w:val="auto"/>
              </w:rPr>
            </w:pPr>
            <w:r>
              <w:rPr>
                <w:rFonts w:ascii="Arial" w:cs="Arial" w:eastAsia="Arial" w:hAnsi="Arial"/>
                <w:sz w:val="16"/>
                <w:szCs w:val="16"/>
                <w:color w:val="auto"/>
              </w:rPr>
              <w:t>Ex-dividend</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Payment</w:t>
            </w:r>
          </w:p>
        </w:tc>
        <w:tc>
          <w:tcPr>
            <w:tcW w:w="240" w:type="dxa"/>
            <w:vAlign w:val="bottom"/>
            <w:tcBorders>
              <w:right w:val="single" w:sz="8" w:color="auto"/>
            </w:tcBorders>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From End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Until Open of</w:t>
            </w:r>
          </w:p>
        </w:tc>
        <w:tc>
          <w:tcPr>
            <w:tcW w:w="0" w:type="dxa"/>
            <w:vAlign w:val="bottom"/>
          </w:tcPr>
          <w:p>
            <w:pPr>
              <w:spacing w:after="0"/>
              <w:rPr>
                <w:sz w:val="1"/>
                <w:szCs w:val="1"/>
                <w:color w:val="auto"/>
              </w:rPr>
            </w:pPr>
          </w:p>
        </w:tc>
      </w:tr>
      <w:tr>
        <w:trPr>
          <w:trHeight w:val="81"/>
        </w:trPr>
        <w:tc>
          <w:tcPr>
            <w:tcW w:w="920" w:type="dxa"/>
            <w:vAlign w:val="bottom"/>
            <w:tcBorders>
              <w:right w:val="single" w:sz="8" w:color="auto"/>
            </w:tcBorders>
            <w:vMerge w:val="restart"/>
          </w:tcPr>
          <w:p>
            <w:pPr>
              <w:ind w:left="120"/>
              <w:spacing w:after="0" w:line="162" w:lineRule="exact"/>
              <w:rPr>
                <w:sz w:val="20"/>
                <w:szCs w:val="20"/>
                <w:color w:val="auto"/>
              </w:rPr>
            </w:pPr>
            <w:r>
              <w:rPr>
                <w:rFonts w:ascii="Arial" w:cs="Arial" w:eastAsia="Arial" w:hAnsi="Arial"/>
                <w:sz w:val="16"/>
                <w:szCs w:val="16"/>
                <w:color w:val="auto"/>
              </w:rPr>
              <w:t>Quarter</w:t>
            </w:r>
          </w:p>
        </w:tc>
        <w:tc>
          <w:tcPr>
            <w:tcW w:w="10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120" w:type="dxa"/>
            <w:vAlign w:val="bottom"/>
            <w:vMerge w:val="restart"/>
          </w:tcPr>
          <w:p>
            <w:pPr>
              <w:ind w:left="100"/>
              <w:spacing w:after="0" w:line="162" w:lineRule="exact"/>
              <w:rPr>
                <w:sz w:val="20"/>
                <w:szCs w:val="20"/>
                <w:color w:val="auto"/>
              </w:rPr>
            </w:pPr>
            <w:r>
              <w:rPr>
                <w:rFonts w:ascii="Arial" w:cs="Arial" w:eastAsia="Arial" w:hAnsi="Arial"/>
                <w:sz w:val="16"/>
                <w:szCs w:val="16"/>
                <w:color w:val="auto"/>
              </w:rPr>
              <w:t>and Record</w:t>
            </w:r>
          </w:p>
        </w:tc>
        <w:tc>
          <w:tcPr>
            <w:tcW w:w="11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Date: on or</w:t>
            </w:r>
          </w:p>
        </w:tc>
        <w:tc>
          <w:tcPr>
            <w:tcW w:w="240" w:type="dxa"/>
            <w:vAlign w:val="bottom"/>
            <w:tcBorders>
              <w:right w:val="single" w:sz="8" w:color="auto"/>
            </w:tcBorders>
          </w:tcPr>
          <w:p>
            <w:pPr>
              <w:spacing w:after="0"/>
              <w:rPr>
                <w:sz w:val="7"/>
                <w:szCs w:val="7"/>
                <w:color w:val="auto"/>
              </w:rPr>
            </w:pPr>
          </w:p>
        </w:tc>
        <w:tc>
          <w:tcPr>
            <w:tcW w:w="136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Business in NY</w:t>
            </w:r>
          </w:p>
        </w:tc>
        <w:tc>
          <w:tcPr>
            <w:tcW w:w="13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Business in NY</w:t>
            </w:r>
          </w:p>
        </w:tc>
        <w:tc>
          <w:tcPr>
            <w:tcW w:w="0" w:type="dxa"/>
            <w:vAlign w:val="bottom"/>
          </w:tcPr>
          <w:p>
            <w:pPr>
              <w:spacing w:after="0"/>
              <w:rPr>
                <w:sz w:val="1"/>
                <w:szCs w:val="1"/>
                <w:color w:val="auto"/>
              </w:rPr>
            </w:pPr>
          </w:p>
        </w:tc>
      </w:tr>
      <w:tr>
        <w:trPr>
          <w:trHeight w:val="81"/>
        </w:trPr>
        <w:tc>
          <w:tcPr>
            <w:tcW w:w="920" w:type="dxa"/>
            <w:vAlign w:val="bottom"/>
            <w:tcBorders>
              <w:right w:val="single" w:sz="8" w:color="auto"/>
            </w:tcBorders>
            <w:vMerge w:val="continue"/>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Date</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rPr>
              <w:t>Date</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Date</w:t>
            </w:r>
          </w:p>
        </w:tc>
        <w:tc>
          <w:tcPr>
            <w:tcW w:w="1120" w:type="dxa"/>
            <w:vAlign w:val="bottom"/>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20" w:type="dxa"/>
            <w:vAlign w:val="bottom"/>
            <w:tcBorders>
              <w:right w:val="single" w:sz="8" w:color="auto"/>
            </w:tcBorders>
          </w:tcPr>
          <w:p>
            <w:pPr>
              <w:spacing w:after="0"/>
              <w:rPr>
                <w:sz w:val="11"/>
                <w:szCs w:val="11"/>
                <w:color w:val="auto"/>
              </w:rPr>
            </w:pPr>
          </w:p>
        </w:tc>
        <w:tc>
          <w:tcPr>
            <w:tcW w:w="10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120" w:type="dxa"/>
            <w:vAlign w:val="bottom"/>
            <w:vMerge w:val="restart"/>
          </w:tcPr>
          <w:p>
            <w:pPr>
              <w:ind w:left="360"/>
              <w:spacing w:after="0"/>
              <w:rPr>
                <w:sz w:val="20"/>
                <w:szCs w:val="20"/>
                <w:color w:val="auto"/>
              </w:rPr>
            </w:pPr>
            <w:r>
              <w:rPr>
                <w:rFonts w:ascii="Arial" w:cs="Arial" w:eastAsia="Arial" w:hAnsi="Arial"/>
                <w:sz w:val="16"/>
                <w:szCs w:val="16"/>
                <w:color w:val="auto"/>
              </w:rPr>
              <w:t>Date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after</w:t>
            </w:r>
          </w:p>
        </w:tc>
        <w:tc>
          <w:tcPr>
            <w:tcW w:w="240" w:type="dxa"/>
            <w:vAlign w:val="bottom"/>
            <w:tcBorders>
              <w:right w:val="single" w:sz="8" w:color="auto"/>
            </w:tcBorders>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w w:val="98"/>
              </w:rPr>
              <w:t>on:</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on:</w:t>
            </w:r>
          </w:p>
        </w:tc>
        <w:tc>
          <w:tcPr>
            <w:tcW w:w="0" w:type="dxa"/>
            <w:vAlign w:val="bottom"/>
          </w:tcPr>
          <w:p>
            <w:pPr>
              <w:spacing w:after="0"/>
              <w:rPr>
                <w:sz w:val="1"/>
                <w:szCs w:val="1"/>
                <w:color w:val="auto"/>
              </w:rPr>
            </w:pPr>
          </w:p>
        </w:tc>
      </w:tr>
      <w:tr>
        <w:trPr>
          <w:trHeight w:val="81"/>
        </w:trPr>
        <w:tc>
          <w:tcPr>
            <w:tcW w:w="92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9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Q2 2026</w:t>
            </w:r>
          </w:p>
        </w:tc>
        <w:tc>
          <w:tcPr>
            <w:tcW w:w="1060" w:type="dxa"/>
            <w:vAlign w:val="bottom"/>
          </w:tcPr>
          <w:p>
            <w:pPr>
              <w:jc w:val="center"/>
              <w:spacing w:after="0"/>
              <w:rPr>
                <w:sz w:val="20"/>
                <w:szCs w:val="20"/>
                <w:color w:val="auto"/>
              </w:rPr>
            </w:pPr>
            <w:r>
              <w:rPr>
                <w:rFonts w:ascii="Arial" w:cs="Arial" w:eastAsia="Arial" w:hAnsi="Arial"/>
                <w:sz w:val="16"/>
                <w:szCs w:val="16"/>
                <w:color w:val="auto"/>
              </w:rPr>
              <w:t>22-Jun-26</w:t>
            </w:r>
          </w:p>
        </w:tc>
        <w:tc>
          <w:tcPr>
            <w:tcW w:w="1040" w:type="dxa"/>
            <w:vAlign w:val="bottom"/>
          </w:tcPr>
          <w:p>
            <w:pPr>
              <w:jc w:val="center"/>
              <w:spacing w:after="0"/>
              <w:rPr>
                <w:sz w:val="20"/>
                <w:szCs w:val="20"/>
                <w:color w:val="auto"/>
              </w:rPr>
            </w:pPr>
            <w:r>
              <w:rPr>
                <w:rFonts w:ascii="Arial" w:cs="Arial" w:eastAsia="Arial" w:hAnsi="Arial"/>
                <w:sz w:val="16"/>
                <w:szCs w:val="16"/>
                <w:color w:val="auto"/>
              </w:rPr>
              <w:t>23-Jun-26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24-Jun-26</w:t>
            </w:r>
          </w:p>
        </w:tc>
        <w:tc>
          <w:tcPr>
            <w:tcW w:w="1120" w:type="dxa"/>
            <w:vAlign w:val="bottom"/>
          </w:tcPr>
          <w:p>
            <w:pPr>
              <w:ind w:left="140"/>
              <w:spacing w:after="0"/>
              <w:rPr>
                <w:sz w:val="20"/>
                <w:szCs w:val="20"/>
                <w:color w:val="auto"/>
              </w:rPr>
            </w:pPr>
            <w:r>
              <w:rPr>
                <w:rFonts w:ascii="Arial" w:cs="Arial" w:eastAsia="Arial" w:hAnsi="Arial"/>
                <w:sz w:val="16"/>
                <w:szCs w:val="16"/>
                <w:color w:val="auto"/>
              </w:rPr>
              <w:t>23-Jun-26</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30-Jun-26</w:t>
            </w:r>
          </w:p>
        </w:tc>
        <w:tc>
          <w:tcPr>
            <w:tcW w:w="240" w:type="dxa"/>
            <w:vAlign w:val="bottom"/>
            <w:tcBorders>
              <w:right w:val="single" w:sz="8" w:color="auto"/>
            </w:tcBorders>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18-Jun-26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24-Jun-26</w:t>
            </w:r>
          </w:p>
        </w:tc>
        <w:tc>
          <w:tcPr>
            <w:tcW w:w="0" w:type="dxa"/>
            <w:vAlign w:val="bottom"/>
          </w:tcPr>
          <w:p>
            <w:pPr>
              <w:spacing w:after="0"/>
              <w:rPr>
                <w:sz w:val="1"/>
                <w:szCs w:val="1"/>
                <w:color w:val="auto"/>
              </w:rPr>
            </w:pPr>
          </w:p>
        </w:tc>
      </w:tr>
      <w:tr>
        <w:trPr>
          <w:trHeight w:val="43"/>
        </w:trPr>
        <w:tc>
          <w:tcPr>
            <w:tcW w:w="92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Q3 2026</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21-Sep-26</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22-Sep-26</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23-Sep-26</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22-Sep-26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29-Sep-26</w:t>
            </w:r>
          </w:p>
        </w:tc>
        <w:tc>
          <w:tcPr>
            <w:tcW w:w="2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18-Sep-26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23-Sep-26</w:t>
            </w: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Q4 2026</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14-Dec-26</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15-Dec-26</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16-Dec-26</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15-Dec-26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22-Dec-26</w:t>
            </w:r>
          </w:p>
        </w:tc>
        <w:tc>
          <w:tcPr>
            <w:tcW w:w="2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11-Dec-26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16-Dec-26</w:t>
            </w:r>
          </w:p>
        </w:tc>
        <w:tc>
          <w:tcPr>
            <w:tcW w:w="0" w:type="dxa"/>
            <w:vAlign w:val="bottom"/>
          </w:tcPr>
          <w:p>
            <w:pPr>
              <w:spacing w:after="0"/>
              <w:rPr>
                <w:sz w:val="1"/>
                <w:szCs w:val="1"/>
                <w:color w:val="auto"/>
              </w:rPr>
            </w:pPr>
          </w:p>
        </w:tc>
      </w:tr>
      <w:tr>
        <w:trPr>
          <w:trHeight w:val="210"/>
        </w:trPr>
        <w:tc>
          <w:tcPr>
            <w:tcW w:w="9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Q1 2027</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15-Mar-27</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16-Mar-27</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17-Mar-27</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16-Mar-27</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23-Mar-27</w:t>
            </w:r>
          </w:p>
        </w:tc>
        <w:tc>
          <w:tcPr>
            <w:tcW w:w="240" w:type="dxa"/>
            <w:vAlign w:val="bottom"/>
            <w:tcBorders>
              <w:right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12-Mar-27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17-Mar-27</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About STMicroelectronics</w:t>
      </w:r>
    </w:p>
    <w:p>
      <w:pPr>
        <w:spacing w:after="0" w:line="26" w:lineRule="exact"/>
        <w:rPr>
          <w:sz w:val="20"/>
          <w:szCs w:val="20"/>
          <w:color w:val="auto"/>
        </w:rPr>
      </w:pPr>
    </w:p>
    <w:p>
      <w:pPr>
        <w:ind w:left="440" w:right="900"/>
        <w:spacing w:after="0" w:line="247" w:lineRule="auto"/>
        <w:rPr>
          <w:sz w:val="20"/>
          <w:szCs w:val="20"/>
          <w:color w:val="auto"/>
        </w:rPr>
      </w:pPr>
      <w:r>
        <w:rPr>
          <w:rFonts w:ascii="Arial" w:cs="Arial" w:eastAsia="Arial" w:hAnsi="Arial"/>
          <w:sz w:val="22"/>
          <w:szCs w:val="22"/>
          <w:color w:val="auto"/>
        </w:rPr>
        <w:t>At ST, we are 49,000 creators and makers of semiconductor technologies mastering the semiconductor supply chain with state-of-the-art manufacturing facilities. An integrated device manufacturer, we work with more than 200,000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 Further information can be found at www.st.com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For more information, please contact:</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INVESTOR RELATIONS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Jérôme Ramel</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EVP Corporate Development &amp; Integrated External Communication</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Tel: +41.22.929.59.20</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jerome.ramel@st.com</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MEDIA RELATIONS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Alexis Breton</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Group VP Corporate External Communications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Tel: +33.6.59.16.79.08</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alexis.breton@st.com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40" w:right="8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9360"/>
          </w:cols>
          <w:pgMar w:left="1440" w:top="75"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spacing w:after="0"/>
        <w:tabs>
          <w:tab w:leader="none" w:pos="5140" w:val="left"/>
          <w:tab w:leader="none" w:pos="624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u w:val="single" w:color="auto"/>
          <w:color w:val="auto"/>
          <w:highlight w:val="white"/>
        </w:rPr>
        <w:t>Lorenzo Grandi</w:t>
      </w:r>
    </w:p>
    <w:p>
      <w:pPr>
        <w:sectPr>
          <w:pgSz w:w="11900" w:h="16838" w:orient="portrait"/>
          <w:cols w:equalWidth="0" w:num="1">
            <w:col w:w="9360"/>
          </w:cols>
          <w:pgMar w:left="1440" w:top="75" w:right="1099" w:bottom="0" w:gutter="0" w:footer="0" w:header="0"/>
          <w:type w:val="continuous"/>
        </w:sectPr>
      </w:pPr>
    </w:p>
    <w:bookmarkStart w:id="3" w:name="page4"/>
    <w:bookmarkEnd w:id="3"/>
    <w:p>
      <w:pPr>
        <w:ind w:left="5160"/>
        <w:spacing w:after="0"/>
        <w:tabs>
          <w:tab w:leader="none" w:pos="58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314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314565"/>
                    </a:xfrm>
                    <a:prstGeom prst="rect">
                      <a:avLst/>
                    </a:prstGeom>
                    <a:noFill/>
                  </pic:spPr>
                </pic:pic>
              </a:graphicData>
            </a:graphic>
          </wp:anchor>
        </w:drawing>
        <w:t>Name:</w:t>
      </w:r>
      <w:r>
        <w:rPr>
          <w:sz w:val="20"/>
          <w:szCs w:val="20"/>
          <w:color w:val="auto"/>
        </w:rPr>
        <w:tab/>
      </w:r>
      <w:r>
        <w:rPr>
          <w:rFonts w:ascii="Times New Roman" w:cs="Times New Roman" w:eastAsia="Times New Roman" w:hAnsi="Times New Roman"/>
          <w:sz w:val="11"/>
          <w:szCs w:val="11"/>
          <w:b w:val="1"/>
          <w:bCs w:val="1"/>
          <w:color w:val="auto"/>
          <w:highlight w:val="white"/>
        </w:rPr>
        <w:t>STMicroelectronics</w:t>
      </w:r>
      <w:r>
        <w:rPr>
          <w:rFonts w:ascii="Times New Roman" w:cs="Times New Roman" w:eastAsia="Times New Roman" w:hAnsi="Times New Roman"/>
          <w:sz w:val="11"/>
          <w:szCs w:val="11"/>
          <w:color w:val="auto"/>
          <w:highlight w:val="white"/>
        </w:rPr>
        <w:t>LorenzoGrandi</w:t>
      </w:r>
      <w:r>
        <w:rPr>
          <w:rFonts w:ascii="Times New Roman" w:cs="Times New Roman" w:eastAsia="Times New Roman" w:hAnsi="Times New Roman"/>
          <w:sz w:val="11"/>
          <w:szCs w:val="11"/>
          <w:b w:val="1"/>
          <w:bCs w:val="1"/>
          <w:color w:val="auto"/>
          <w:highlight w:val="white"/>
        </w:rPr>
        <w:t xml:space="preserve"> </w:t>
      </w:r>
      <w:r>
        <w:rPr>
          <w:rFonts w:ascii="Times New Roman" w:cs="Times New Roman" w:eastAsia="Times New Roman" w:hAnsi="Times New Roman"/>
          <w:sz w:val="11"/>
          <w:szCs w:val="11"/>
          <w:b w:val="1"/>
          <w:bCs w:val="1"/>
          <w:color w:val="auto"/>
        </w:rPr>
        <w:t>N.V.</w:t>
      </w:r>
    </w:p>
    <w:p>
      <w:pPr>
        <w:spacing w:after="0" w:line="67" w:lineRule="exact"/>
        <w:rPr>
          <w:sz w:val="20"/>
          <w:szCs w:val="20"/>
          <w:color w:val="auto"/>
        </w:rPr>
      </w:pPr>
    </w:p>
    <w:p>
      <w:pPr>
        <w:ind w:left="5160"/>
        <w:spacing w:after="0"/>
        <w:tabs>
          <w:tab w:leader="none" w:pos="58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President and Chief Financial Officer</w:t>
      </w:r>
    </w:p>
    <w:sectPr>
      <w:pgSz w:w="11900" w:h="16838" w:orient="portrait"/>
      <w:cols w:equalWidth="0" w:num="1">
        <w:col w:w="9019"/>
      </w:cols>
      <w:pgMar w:left="144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2026-05-27T08:29:54Z</dcterms:created>
  <dcterms:modified xsi:type="dcterms:W3CDTF">2026-05-27T08:29:54Z</dcterms:modified>
</cp:coreProperties>
</file>