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August,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Form 20-F</w:t>
      </w:r>
      <w:r>
        <w:rPr>
          <w:rFonts w:ascii="Wingdings 2;sans-serif" w:hAnsi="Wingdings 2;sans-serif"/>
          <w:b w:val="false"/>
          <w:i w:val="false"/>
          <w:caps w:val="false"/>
          <w:smallCaps w:val="false"/>
          <w:sz w:val="24"/>
          <w:shd w:fill="E4E4E4" w:val="clear"/>
        </w:rPr>
        <w:t>Q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        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August 10, 2026, announcing the results of trading in STMicroelectronics'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August 10, 2026, announcing the results of trading in STMicroelectronics'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340" cy="146685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3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 shares as part of the previously announced share buy-back program for the period from August, 3, 2026,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 shares as part of the previously announced share buy-back program for the period from August, 3, 2026,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973455" cy="293370"/>
                <wp:effectExtent l="0" t="0" r="0" b="0"/>
                <wp:wrapNone/>
                <wp:docPr id="1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34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August, 7,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65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August, 7,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</w: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N°C3406C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N°C3406C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of 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Disclosure of Transactions in Own Shares – Period from August 03, 2026 to August 07, 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5976620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2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7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(the Market Abuse Regulation) was to meet obligations arising from share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(the Market Abuse Regulation) was to meet obligations arising from share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5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16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programmes, or other allocations of shares, to employees or to members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programmes, or other allocations of shares, to employees or to members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7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8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administrative, management or supervisory bodies of the issuer or of an associate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administrative, management or supervisory bodies of the issuer or of an associate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48970" cy="350520"/>
                <wp:effectExtent l="0" t="0" r="0" b="0"/>
                <wp:wrapNone/>
                <wp:docPr id="2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2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shares may be held in treasury prior to being used for such purpose and,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shares may be held in treasury prior to being used for such purpose and,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23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extent that they are not ultimately needed for such purpose, they may be used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extent that they are not ultimately needed for such purpose, they may be used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62220" cy="350520"/>
                <wp:effectExtent l="0" t="0" r="0" b="0"/>
                <wp:wrapNone/>
                <wp:docPr id="25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any other lawful purpose under article 5(2) of the Market Abuse Regulation.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any other lawful purpose under article 5(2) of the Market Abuse Regulation.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purpose of these transactions under article 5(2) of Regulation (EU) 596/2014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purpose of these transactions under article 5(2) of Regulation (EU) 596/2014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7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Below is a summary of the repurchase transactions made in the course of the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Below is a summary of the repurchase transactions made in the course of the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8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in relation to the ordinary shares of STMicroelectronics (ISIN: NL0000226223),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in relation to the ordinary shares of STMicroelectronics (ISIN: NL0000226223),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22655" cy="350520"/>
                <wp:effectExtent l="0" t="0" r="0" b="0"/>
                <wp:wrapNone/>
                <wp:docPr id="3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detailed form.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6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detailed form.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3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931035"/>
                <wp:effectExtent l="0" t="0" r="0" b="0"/>
                <wp:wrapNone/>
                <wp:docPr id="3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9310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36"/>
                              <w:gridCol w:w="1526"/>
                              <w:gridCol w:w="2036"/>
                              <w:gridCol w:w="1766"/>
                              <w:gridCol w:w="2186"/>
                            </w:tblGrid>
                            <w:tr>
                              <w:trPr/>
                              <w:tc>
                                <w:tcPr>
                                  <w:tcW w:w="20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3-Aug-26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5-Aug-26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6-Aug-26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7-Aug-26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52.0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36"/>
                        <w:gridCol w:w="1526"/>
                        <w:gridCol w:w="2036"/>
                        <w:gridCol w:w="1766"/>
                        <w:gridCol w:w="2186"/>
                      </w:tblGrid>
                      <w:tr>
                        <w:trPr/>
                        <w:tc>
                          <w:tcPr>
                            <w:tcW w:w="20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3-Aug-26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5-Aug-26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6-Aug-26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7-Aug-26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350520"/>
                <wp:effectExtent l="0" t="0" r="0" b="0"/>
                <wp:wrapNone/>
                <wp:docPr id="34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18,713,440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18,713,440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5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6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2.1%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2.1%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7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38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9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(registered with the trade register under number 33194537)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(registered with the trade register under number 33194537)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3365500</wp:posOffset>
                </wp:positionH>
                <wp:positionV relativeFrom="line">
                  <wp:posOffset>635</wp:posOffset>
                </wp:positionV>
                <wp:extent cx="75565" cy="175260"/>
                <wp:effectExtent l="0" t="0" r="0" b="0"/>
                <wp:wrapNone/>
                <wp:docPr id="40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95pt;height:13.8pt;mso-wrap-distance-left:0pt;mso-wrap-distance-right:0pt;mso-wrap-distance-top:0pt;mso-wrap-distance-bottom:0pt;margin-top:0pt;mso-position-vertical:top;mso-position-vertical-relative:text;margin-left:2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3441065</wp:posOffset>
                </wp:positionH>
                <wp:positionV relativeFrom="line">
                  <wp:posOffset>635</wp:posOffset>
                </wp:positionV>
                <wp:extent cx="3206115" cy="175260"/>
                <wp:effectExtent l="0" t="0" r="0" b="0"/>
                <wp:wrapNone/>
                <wp:docPr id="4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1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-- STMicroelectronics N.V. (the “Company”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45pt;height:13.8pt;mso-wrap-distance-left:0pt;mso-wrap-distance-right:0pt;mso-wrap-distance-top:0pt;mso-wrap-distance-bottom:0pt;margin-top:0pt;mso-position-vertical:top;mso-position-vertical-relative:text;margin-left:27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-- STMicroelectronics N.V. (the “Company”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895"/>
                <wp:effectExtent l="0" t="0" r="0" b="0"/>
                <wp:wrapNone/>
                <wp:docPr id="4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8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STMicroelectronics”), a global semiconductor leader serving customers across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STMicroelectronics”), a global semiconductor leader serving customers across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4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4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spectrum of electronics applications, announces full details of its common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spectrum of electronics applications, announces full details of its common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repurchase program (the “Program”) disclosed via a press release dated June 21,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repurchase program (the “Program”) disclosed via a press release dated June 21,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2024. The Program was approved by a shareholder resolution dated May 22,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2024. The Program was approved by a shareholder resolution dated May 22,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006600" cy="350520"/>
                <wp:effectExtent l="0" t="0" r="0" b="0"/>
                <wp:wrapNone/>
                <wp:docPr id="5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and by the supervisory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and by the supervisory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451100" cy="175260"/>
                <wp:effectExtent l="0" t="0" r="0" b="0"/>
                <wp:wrapNone/>
                <wp:docPr id="5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AMSTERDAM – August 10,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AMSTERDAM – August 10,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(LEI: 213800Z8NOHIKRI42W10) announces the repurchase (by a broker acting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(LEI: 213800Z8NOHIKRI42W10) announces the repurchase (by a broker acting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Company) on the regulated market of Euronext Paris, in the period between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Company) on the regulated market of Euronext Paris, in the period between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3655" cy="175260"/>
                <wp:effectExtent l="0" t="0" r="0" b="0"/>
                <wp:wrapNone/>
                <wp:docPr id="57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6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August 03, 2026 to August 07, 2026 (the “Period”), of  65,209 ordinary shares (equal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August 03, 2026 to August 07, 2026 (the “Period”), of  65,209 ordinary shares (equal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9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to 0.01% of its issued share capital) at the weighted average purchase price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to 0.01% of its issued share capital) at the weighted average purchase price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6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of EUR 45.7643 and for an overall price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of EUR 45.7643 and for an overall price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6089650" cy="175260"/>
                <wp:effectExtent l="0" t="0" r="0" b="0"/>
                <wp:wrapNone/>
                <wp:docPr id="6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9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                                                                                                                                            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9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                                                                                                                                            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31545" cy="350520"/>
                <wp:effectExtent l="0" t="0" r="0" b="0"/>
                <wp:wrapNone/>
                <wp:docPr id="6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2,984,246.06.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3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2,984,246.06.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28725" cy="350520"/>
                <wp:effectExtent l="0" t="0" r="0" b="0"/>
                <wp:wrapNone/>
                <wp:docPr id="65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1228725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66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2143125</wp:posOffset>
                </wp:positionH>
                <wp:positionV relativeFrom="line">
                  <wp:posOffset>635</wp:posOffset>
                </wp:positionV>
                <wp:extent cx="1238250" cy="876300"/>
                <wp:effectExtent l="0" t="0" r="0" b="0"/>
                <wp:wrapNone/>
                <wp:docPr id="6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69pt;mso-wrap-distance-left:0pt;mso-wrap-distance-right:0pt;mso-wrap-distance-top:0pt;mso-wrap-distance-bottom:0pt;margin-top:0pt;mso-position-vertical:top;mso-position-vertical-relative:text;margin-left:1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3381375</wp:posOffset>
                </wp:positionH>
                <wp:positionV relativeFrom="line">
                  <wp:posOffset>635</wp:posOffset>
                </wp:positionV>
                <wp:extent cx="1066800" cy="350520"/>
                <wp:effectExtent l="0" t="0" r="0" b="0"/>
                <wp:wrapNone/>
                <wp:docPr id="68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27.6pt;mso-wrap-distance-left:0pt;mso-wrap-distance-right:0pt;mso-wrap-distance-top:0pt;mso-wrap-distance-bottom:0pt;margin-top:0pt;mso-position-vertical:top;mso-position-vertical-relative:text;margin-left:26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4448175</wp:posOffset>
                </wp:positionH>
                <wp:positionV relativeFrom="line">
                  <wp:posOffset>635</wp:posOffset>
                </wp:positionV>
                <wp:extent cx="1304925" cy="701040"/>
                <wp:effectExtent l="0" t="0" r="0" b="0"/>
                <wp:wrapNone/>
                <wp:docPr id="6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701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which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the 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55.2pt;mso-wrap-distance-left:0pt;mso-wrap-distance-right:0pt;mso-wrap-distance-top:0pt;mso-wrap-distance-bottom:0pt;margin-top:0pt;mso-position-vertical:top;mso-position-vertical-relative:text;margin-left:3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which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the 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70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72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73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74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734</Words>
  <Characters>4467</Characters>
  <CharactersWithSpaces>5288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