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UNITED  STATES</w:t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4050" cy="68453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68453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169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169"/>
                            </w:tblGrid>
                            <w:tr>
                              <w:trPr/>
                              <w:tc>
                                <w:tcPr>
                                  <w:tcW w:w="16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169" w:type="dxa"/>
                                  <w:tcBorders>
                                    <w:top w:val="double" w:sz="8" w:space="0" w:color="000000"/>
                                  </w:tcBorders>
                                  <w:tcMar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5pt;height:53.9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169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169"/>
                      </w:tblGrid>
                      <w:tr>
                        <w:trPr/>
                        <w:tc>
                          <w:tcPr>
                            <w:tcW w:w="16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169" w:type="dxa"/>
                            <w:tcBorders>
                              <w:top w:val="double" w:sz="8" w:space="0" w:color="000000"/>
                            </w:tcBorders>
                            <w:tcMar>
                              <w:left w:w="0" w:type="dxa"/>
                              <w:bottom w:w="0" w:type="dxa"/>
                              <w:right w:w="0" w:type="dxa"/>
                            </w:tcMar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AND 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 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Washington, D.C. 20549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36"/>
          <w:shd w:fill="E4E4E4" w:val="clear"/>
        </w:rPr>
        <w:t>FORM 6-K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REPORT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FOREIGN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PRIVATE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ISSUER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PURSUANT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TO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RULE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13a-16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</w:p>
    <w:p>
      <w:pPr>
        <w:pStyle w:val="TextBody"/>
        <w:bidi w:val="0"/>
        <w:spacing w:lineRule="atLeast" w:line="162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15d-16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UNDER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THE SECURITIES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EXCHANGE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ACT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OF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color w:val="231F20"/>
          <w:u w:val="none"/>
          <w:effect w:val="none"/>
          <w:shd w:fill="E4E4E4" w:val="clear"/>
        </w:rPr>
        <w:t xml:space="preserve"> </w:t>
      </w: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4"/>
          <w:u w:val="none"/>
          <w:effect w:val="none"/>
          <w:shd w:fill="E4E4E4" w:val="clear"/>
        </w:rPr>
        <w:t>1934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For the month of October, 2026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Commission File Number: 1-13546</w:t>
      </w:r>
    </w:p>
    <w:p>
      <w:pPr>
        <w:pStyle w:val="TextBody"/>
        <w:bidi w:val="0"/>
        <w:spacing w:lineRule="atLeast" w:line="244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trike w:val="false"/>
          <w:dstrike w:val="false"/>
          <w:sz w:val="36"/>
          <w:u w:val="none"/>
          <w:effect w:val="none"/>
          <w:shd w:fill="E4E4E4" w:val="clear"/>
        </w:rPr>
        <w:t>STMicroelectronics N.V.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(Name of Registrant)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WTC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Schiphol Boulevard 265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1118 BH Schiphol Airport</w:t>
      </w:r>
    </w:p>
    <w:p>
      <w:pPr>
        <w:pStyle w:val="TextBody"/>
        <w:bidi w:val="0"/>
        <w:spacing w:lineRule="atLeast" w:line="15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z w:val="22"/>
          <w:shd w:fill="E4E4E4" w:val="clear"/>
        </w:rPr>
        <w:t>The Netherlands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___________________________________________________________________________________________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color w:val="231F20"/>
          <w:sz w:val="20"/>
          <w:u w:val="none"/>
          <w:effect w:val="none"/>
          <w:shd w:fill="E4E4E4" w:val="clear"/>
        </w:rPr>
        <w:t>(Address of Principal Executive Offices)</w:t>
      </w:r>
    </w:p>
    <w:p>
      <w:pPr>
        <w:pStyle w:val="TextBody"/>
        <w:bidi w:val="0"/>
        <w:spacing w:lineRule="atLeast" w:line="185" w:before="0" w:after="0"/>
        <w:jc w:val="left"/>
        <w:rPr>
          <w:rFonts w:ascii="Arial;sans-serif" w:hAnsi="Arial;sans-serif"/>
          <w:shd w:fill="E4E4E4" w:val="clear"/>
        </w:rPr>
      </w:pPr>
      <w:r>
        <w:rPr>
          <w:rFonts w:ascii="Times New Roman;serif" w:hAnsi="Times New Roman;serif"/>
          <w:b w:val="false"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  <w:shd w:fill="E4E4E4" w:val="clear"/>
        </w:rPr>
        <w:t xml:space="preserve">Form 20-F ☑            Form 40-F </w:t>
      </w:r>
      <w:r>
        <w:rPr>
          <w:rFonts w:ascii="Arial;sans-serif" w:hAnsi="Arial;sans-serif"/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>☐</w:t>
      </w:r>
      <w:r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2610" cy="146685"/>
                <wp:effectExtent l="0" t="0" r="0" b="0"/>
                <wp:wrapNone/>
                <wp:docPr id="2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261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Indicate by check mark whether the registrant files or will file annual reports under cover of Form 20-F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3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Indicate by check mark whether the registrant files or will file annual reports under cover of Form 20-F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3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81660" cy="293370"/>
                <wp:effectExtent l="0" t="0" r="0" b="0"/>
                <wp:wrapNone/>
                <wp:docPr id="4" name="Frame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166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Form 40-F: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.8pt;height:23.1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Form 40-F: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left"/>
        <w:rPr>
          <w:shd w:fill="E4E4E4" w:val="clear"/>
        </w:rPr>
      </w:pPr>
      <w:r>
        <w:rPr>
          <w:shd w:fill="E4E4E4" w:val="clear"/>
        </w:rPr>
        <w:drawing>
          <wp:inline distT="0" distB="0" distL="0" distR="0">
            <wp:extent cx="7562850" cy="1699895"/>
            <wp:effectExtent l="0" t="0" r="0" b="0"/>
            <wp:docPr id="5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69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1975" cy="146685"/>
                <wp:effectExtent l="0" t="0" r="0" b="0"/>
                <wp:wrapNone/>
                <wp:docPr id="6" name="Frame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197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Enclosure: A press release dated October 5, 2026, announcing the results of trading in STMicroelectronics'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25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Enclosure: A press release dated October 5, 2026, announcing the results of trading in STMicroelectronics'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" name="Frame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5641340" cy="146685"/>
                <wp:effectExtent l="0" t="0" r="0" b="0"/>
                <wp:wrapNone/>
                <wp:docPr id="8" name="Frame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134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own shares as part of the previously announced share buy-back program for the period from September 28,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44.2pt;height:11.55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own shares as part of the previously announced share buy-back program for the period from September 28,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">
                <wp:simplePos x="0" y="0"/>
                <wp:positionH relativeFrom="page">
                  <wp:posOffset>6645910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9" name="Frame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1">
                <wp:simplePos x="0" y="0"/>
                <wp:positionH relativeFrom="page">
                  <wp:posOffset>1004570</wp:posOffset>
                </wp:positionH>
                <wp:positionV relativeFrom="line">
                  <wp:posOffset>635</wp:posOffset>
                </wp:positionV>
                <wp:extent cx="1269365" cy="293370"/>
                <wp:effectExtent l="0" t="0" r="0" b="0"/>
                <wp:wrapNone/>
                <wp:docPr id="10" name="Frame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9365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sz w:val="20"/>
                                <w:u w:val="none"/>
                                <w:effect w:val="none"/>
                              </w:rPr>
                              <w:t>2026 to October 2, 2026.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9.95pt;height:23.1pt;mso-wrap-distance-left:0pt;mso-wrap-distance-right:0pt;mso-wrap-distance-top:0pt;mso-wrap-distance-bottom:0pt;margin-top:0pt;mso-position-vertical:top;mso-position-vertical-relative:text;margin-left:79.1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sz w:val="20"/>
                          <w:u w:val="none"/>
                          <w:effect w:val="none"/>
                        </w:rPr>
                        <w:t>2026 to October 2, 2026.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2">
                <wp:simplePos x="0" y="0"/>
                <wp:positionH relativeFrom="page">
                  <wp:posOffset>2273935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11" name="Frame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179.0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STMicroelectronics announces status</w:t>
      </w:r>
      <w:r>
        <mc:AlternateContent>
          <mc:Choice Requires="wps">
            <w:drawing>
              <wp:anchor behindDoc="0" distT="0" distB="0" distL="0" distR="0" simplePos="0" locked="0" layoutInCell="1" allowOverlap="1" relativeHeight="1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819785" cy="292100"/>
                <wp:effectExtent l="0" t="0" r="0" b="0"/>
                <wp:wrapNone/>
                <wp:docPr id="12" name="Frame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9785" cy="292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PR N°C3414C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64.55pt;height:23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PR N°C3414C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204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8"/>
          <w:shd w:fill="E4E4E4" w:val="clear"/>
        </w:rPr>
        <w:t>of common share repurchase program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/>
          <w:sz w:val="20"/>
          <w:shd w:fill="E4E4E4" w:val="clear"/>
        </w:rPr>
      </w:pPr>
      <w:r>
        <w:rPr>
          <w:rFonts w:ascii="Arial;sans-serif" w:hAnsi="Arial;sans-serif"/>
          <w:b/>
          <w:i/>
          <w:sz w:val="20"/>
          <w:shd w:fill="E4E4E4" w:val="clear"/>
        </w:rPr>
        <w:t xml:space="preserve">Disclosure of Transactions in Own Shares – Period from September 28, 2026 to October 2, </w:t>
      </w:r>
    </w:p>
    <w:p>
      <w:pPr>
        <w:pStyle w:val="TextBody"/>
        <w:bidi w:val="0"/>
        <w:spacing w:lineRule="atLeast" w:line="146" w:before="0" w:after="0"/>
        <w:jc w:val="left"/>
        <w:rPr>
          <w:rFonts w:ascii="Arial;sans-serif" w:hAnsi="Arial;sans-serif"/>
          <w:b/>
          <w:i/>
          <w:sz w:val="20"/>
          <w:shd w:fill="E4E4E4" w:val="clear"/>
        </w:rPr>
      </w:pPr>
      <w:r>
        <w:rPr>
          <w:rFonts w:ascii="Arial;sans-serif" w:hAnsi="Arial;sans-serif"/>
          <w:b/>
          <w:i/>
          <w:sz w:val="20"/>
          <w:shd w:fill="E4E4E4" w:val="clear"/>
        </w:rPr>
        <w:t>2026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In accordance with Article 5(1)(b) of the Market Abuse Regulation and Article 2(3) of </w:t>
      </w:r>
      <w:r>
        <mc:AlternateContent>
          <mc:Choice Requires="wps">
            <w:drawing>
              <wp:anchor behindDoc="0" distT="0" distB="0" distL="0" distR="0" simplePos="0" locked="0" layoutInCell="1" allowOverlap="1" relativeHeight="54">
                <wp:simplePos x="0" y="0"/>
                <wp:positionH relativeFrom="page">
                  <wp:posOffset>5976620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3" name="Frame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470.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4" name="Frame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15" name="Frame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(the Market Abuse Regulation) was to meet obligations arising from share option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(the Market Abuse Regulation) was to meet obligations arising from share option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6" name="Frame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17" name="Frame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programmes, or other allocations of shares, to employees or to members of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programmes, or other allocations of shares, to employees or to members of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5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18" name="Frame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19" name="Frame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administrative, management or supervisory bodies of the issuer or of an associate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administrative, management or supervisory bodies of the issuer or of an associate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7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0" name="Frame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648970" cy="350520"/>
                <wp:effectExtent l="0" t="0" r="0" b="0"/>
                <wp:wrapNone/>
                <wp:docPr id="21" name="Frame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97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company.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1.1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company.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75260"/>
                <wp:effectExtent l="0" t="0" r="0" b="0"/>
                <wp:wrapNone/>
                <wp:docPr id="22" name="Frame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shares may be held in treasury prior to being used for such purpose and, to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shares may be held in treasury prior to being used for such purpose and, to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0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3" name="Frame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1510" cy="175260"/>
                <wp:effectExtent l="0" t="0" r="0" b="0"/>
                <wp:wrapNone/>
                <wp:docPr id="24" name="Frame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extent that they are not ultimately needed for such purpose, they may be used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extent that they are not ultimately needed for such purpose, they may be used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2">
                <wp:simplePos x="0" y="0"/>
                <wp:positionH relativeFrom="page">
                  <wp:posOffset>6645910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5" name="Frame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062220" cy="350520"/>
                <wp:effectExtent l="0" t="0" r="0" b="0"/>
                <wp:wrapNone/>
                <wp:docPr id="26" name="Frame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222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any other lawful purpose under article 5(2) of the Market Abuse Regulation.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98.6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any other lawful purpose under article 5(2) of the Market Abuse Regulation.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27" name="Frame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purpose of these transactions under article 5(2) of Regulation (EU) 596/2014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purpose of these transactions under article 5(2) of Regulation (EU) 596/2014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28" name="Frame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Below is a summary of the repurchase transactions made in the course of the Period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Below is a summary of the repurchase transactions made in the course of the Period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6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29" name="Frame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30" name="Frame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in relation to the ordinary shares of STMicroelectronics (ISIN: NL0000226223), in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in relation to the ordinary shares of STMicroelectronics (ISIN: NL0000226223), in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8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1" name="Frame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5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22655" cy="350520"/>
                <wp:effectExtent l="0" t="0" r="0" b="0"/>
                <wp:wrapNone/>
                <wp:docPr id="32" name="Frame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265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detailed form.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.6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detailed form.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642110" cy="350520"/>
                <wp:effectExtent l="0" t="0" r="0" b="0"/>
                <wp:wrapNone/>
                <wp:docPr id="33" name="Frame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421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Transactions in Period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29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  <w:t>Transactions in Period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6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53100" cy="2181860"/>
                <wp:effectExtent l="0" t="0" r="0" b="0"/>
                <wp:wrapNone/>
                <wp:docPr id="34" name="Frame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21818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955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2021"/>
                              <w:gridCol w:w="1526"/>
                              <w:gridCol w:w="2006"/>
                              <w:gridCol w:w="1841"/>
                              <w:gridCol w:w="2156"/>
                            </w:tblGrid>
                            <w:tr>
                              <w:trPr/>
                              <w:tc>
                                <w:tcPr>
                                  <w:tcW w:w="20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fill="F2F2F2" w:val="clear"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28-Sep-26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29-Sep-26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30-Sep-26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1-Oct-26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2-Oct-26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20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75" w:before="0" w:after="0"/>
                                    <w:jc w:val="left"/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Arial;sans-serif" w:hAnsi="Arial;sans-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4"/>
                                      <w:u w:val="none"/>
                                      <w:effect w:val="none"/>
                                    </w:rPr>
                                    <w:t>Total for Period</w:t>
                                  </w:r>
                                </w:p>
                              </w:tc>
                              <w:tc>
                                <w:tcPr>
                                  <w:tcW w:w="152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00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84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21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pt;height:171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955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2021"/>
                        <w:gridCol w:w="1526"/>
                        <w:gridCol w:w="2006"/>
                        <w:gridCol w:w="1841"/>
                        <w:gridCol w:w="2156"/>
                      </w:tblGrid>
                      <w:tr>
                        <w:trPr/>
                        <w:tc>
                          <w:tcPr>
                            <w:tcW w:w="20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2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shd w:fill="F2F2F2" w:val="clear"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28-Sep-26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29-Sep-26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30-Sep-26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1-Oct-26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2-Oct-26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202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Total for Period</w:t>
                            </w:r>
                          </w:p>
                        </w:tc>
                        <w:tc>
                          <w:tcPr>
                            <w:tcW w:w="152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00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84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21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350520"/>
                <wp:effectExtent l="0" t="0" r="0" b="0"/>
                <wp:wrapNone/>
                <wp:docPr id="35" name="Frame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Following the share buybacks detailed above, the Company holds in total 15,583,565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Following the share buybacks detailed above, the Company holds in total 15,583,565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1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6" name="Frame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37" name="Frame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treasury shares, which represents approximately 1.7% of the Company’s issued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treasury shares, which represents approximately 1.7% of the Company’s issued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3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38" name="Frame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905510" cy="350520"/>
                <wp:effectExtent l="0" t="0" r="0" b="0"/>
                <wp:wrapNone/>
                <wp:docPr id="39" name="Frame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51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share capital.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1.3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share capital.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40" name="Frame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STMicroelectronics N.V. (registered with the trade register under number 33194537)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STMicroelectronics N.V. (registered with the trade register under number 33194537)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5">
                <wp:simplePos x="0" y="0"/>
                <wp:positionH relativeFrom="page">
                  <wp:posOffset>3401695</wp:posOffset>
                </wp:positionH>
                <wp:positionV relativeFrom="line">
                  <wp:posOffset>635</wp:posOffset>
                </wp:positionV>
                <wp:extent cx="69215" cy="175260"/>
                <wp:effectExtent l="0" t="0" r="0" b="0"/>
                <wp:wrapNone/>
                <wp:docPr id="41" name="Frame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1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5.45pt;height:13.8pt;mso-wrap-distance-left:0pt;mso-wrap-distance-right:0pt;mso-wrap-distance-top:0pt;mso-wrap-distance-bottom:0pt;margin-top:0pt;mso-position-vertical:top;mso-position-vertical-relative:text;margin-left:267.8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6">
                <wp:simplePos x="0" y="0"/>
                <wp:positionH relativeFrom="page">
                  <wp:posOffset>3470910</wp:posOffset>
                </wp:positionH>
                <wp:positionV relativeFrom="line">
                  <wp:posOffset>635</wp:posOffset>
                </wp:positionV>
                <wp:extent cx="3176905" cy="175260"/>
                <wp:effectExtent l="0" t="0" r="0" b="0"/>
                <wp:wrapNone/>
                <wp:docPr id="42" name="Frame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690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-- STMicroelectronics N.V. (the “Company” 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50.15pt;height:13.8pt;mso-wrap-distance-left:0pt;mso-wrap-distance-right:0pt;mso-wrap-distance-top:0pt;mso-wrap-distance-bottom:0pt;margin-top:0pt;mso-position-vertical:top;mso-position-vertical-relative:text;margin-left:27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-- STMicroelectronics N.V. (the “Company” 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7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3" name="Frame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895"/>
                <wp:effectExtent l="0" t="0" r="0" b="0"/>
                <wp:wrapNone/>
                <wp:docPr id="44" name="Frame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89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>“</w:t>
                            </w: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STMicroelectronics”), a global semiconductor leader serving customers across the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>“</w:t>
                      </w: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STMicroelectronics”), a global semiconductor leader serving customers across the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9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5" name="Frame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0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46" name="Frame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spectrum of electronics applications, announces full details of its common share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spectrum of electronics applications, announces full details of its common share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1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7" name="Frame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2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48" name="Frame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repurchase program (the “Program”) disclosed via a press release dated June 21,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repurchase program (the “Program”) disclosed via a press release dated June 21,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3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49" name="Frame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780" cy="175260"/>
                <wp:effectExtent l="0" t="0" r="0" b="0"/>
                <wp:wrapNone/>
                <wp:docPr id="50" name="Frame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78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2024. The Program was approved by a shareholder resolution dated May 22, 2024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2024. The Program was approved by a shareholder resolution dated May 22, 2024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5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1" name="Frame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6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006600" cy="350520"/>
                <wp:effectExtent l="0" t="0" r="0" b="0"/>
                <wp:wrapNone/>
                <wp:docPr id="52" name="Frame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66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and by the supervisory board.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8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and by the supervisory board.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4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2487295" cy="175260"/>
                <wp:effectExtent l="0" t="0" r="0" b="0"/>
                <wp:wrapNone/>
                <wp:docPr id="53" name="Frame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729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AMSTERDAM – October 05, 2026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95.8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z w:val="24"/>
                        </w:rPr>
                        <w:t>AMSTERDAM – October 05, 2026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8">
                <wp:simplePos x="0" y="0"/>
                <wp:positionH relativeFrom="page">
                  <wp:posOffset>6647180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4" name="Frame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2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55" name="Frame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(LEI: 213800Z8NOHIKRI42W10) announces the repurchase (by a broker acting for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(LEI: 213800Z8NOHIKRI42W10) announces the repurchase (by a broker acting for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0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6" name="Frame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1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57" name="Frame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the Company) on the regulated market of Euronext Paris, in the period between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the Company) on the regulated market of Euronext Paris, in the period between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2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58" name="Frame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3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1510" cy="175260"/>
                <wp:effectExtent l="0" t="0" r="0" b="0"/>
                <wp:wrapNone/>
                <wp:docPr id="59" name="Frame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151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September 28, 2026 to October 2, 2026 (the “Period”), of  310,000 ordinary shares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September 28, 2026 to October 2, 2026 (the “Period”), of  310,000 ordinary shares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4">
                <wp:simplePos x="0" y="0"/>
                <wp:positionH relativeFrom="page">
                  <wp:posOffset>6645910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60" name="Frame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61" name="Frame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(equal to 0.03% of its issued share capital) at the weighted average purchase price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(equal to 0.03% of its issued share capital) at the weighted average purchase price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42545" cy="175260"/>
                <wp:effectExtent l="0" t="0" r="0" b="0"/>
                <wp:wrapNone/>
                <wp:docPr id="62" name="Frame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3.3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2145" cy="175260"/>
                <wp:effectExtent l="0" t="0" r="0" b="0"/>
                <wp:wrapNone/>
                <wp:docPr id="63" name="Frame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per share of EUR 47.1205 and for an overall price of EUR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35pt;height:13.8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per share of EUR 47.1205 and for an overall price of EUR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page">
                  <wp:posOffset>6646545</wp:posOffset>
                </wp:positionH>
                <wp:positionV relativeFrom="line">
                  <wp:posOffset>635</wp:posOffset>
                </wp:positionV>
                <wp:extent cx="6216650" cy="175260"/>
                <wp:effectExtent l="0" t="0" r="0" b="0"/>
                <wp:wrapNone/>
                <wp:docPr id="64" name="Frame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66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caps w:val="false"/>
                                <w:smallCaps w:val="false"/>
                              </w:rPr>
                            </w:pPr>
                            <w:r>
                              <w:rPr>
                                <w:caps w:val="false"/>
                                <w:smallCaps w:val="false"/>
                              </w:rPr>
                              <w:t xml:space="preserve">                                                                                                                                                  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89.5pt;height:13.8pt;mso-wrap-distance-left:0pt;mso-wrap-distance-right:0pt;mso-wrap-distance-top:0pt;mso-wrap-distance-bottom:0pt;margin-top:0pt;mso-position-vertical:top;mso-position-vertical-relative:text;margin-left:523.3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caps w:val="false"/>
                          <w:smallCaps w:val="false"/>
                        </w:rPr>
                      </w:pPr>
                      <w:r>
                        <w:rPr>
                          <w:caps w:val="false"/>
                          <w:smallCaps w:val="false"/>
                        </w:rPr>
                        <w:t xml:space="preserve">                                                                                                                                                 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1016000" cy="350520"/>
                <wp:effectExtent l="0" t="0" r="0" b="0"/>
                <wp:wrapNone/>
                <wp:docPr id="65" name="Frame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0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 w:val="false"/>
                                <w:i w:val="false"/>
                                <w:caps w:val="false"/>
                                <w:smallCaps w:val="false"/>
                                <w:sz w:val="24"/>
                              </w:rPr>
                              <w:t>14,607,365.00.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0pt;height:27.6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</w:pPr>
                      <w:r>
                        <w:rPr>
                          <w:rFonts w:ascii="Arial;sans-serif" w:hAnsi="Arial;sans-serif"/>
                          <w:b w:val="false"/>
                          <w:i w:val="false"/>
                          <w:caps w:val="false"/>
                          <w:smallCaps w:val="false"/>
                          <w:sz w:val="24"/>
                        </w:rPr>
                        <w:t>14,607,365.00.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1219200" cy="350520"/>
                <wp:effectExtent l="0" t="0" r="0" b="0"/>
                <wp:wrapNone/>
                <wp:docPr id="66" name="Frame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Dates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transaction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27.6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Dates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transaction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6">
                <wp:simplePos x="0" y="0"/>
                <wp:positionH relativeFrom="page">
                  <wp:posOffset>1219200</wp:posOffset>
                </wp:positionH>
                <wp:positionV relativeFrom="line">
                  <wp:posOffset>635</wp:posOffset>
                </wp:positionV>
                <wp:extent cx="914400" cy="525780"/>
                <wp:effectExtent l="0" t="0" r="0" b="0"/>
                <wp:wrapNone/>
                <wp:docPr id="67" name="Frame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52578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Number of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shares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purchased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72pt;height:41.4pt;mso-wrap-distance-left:0pt;mso-wrap-distance-right:0pt;mso-wrap-distance-top:0pt;mso-wrap-distance-bottom:0pt;margin-top:0pt;mso-position-vertical:top;mso-position-vertical-relative:text;margin-left:96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Number of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shares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purchased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7">
                <wp:simplePos x="0" y="0"/>
                <wp:positionH relativeFrom="page">
                  <wp:posOffset>2133600</wp:posOffset>
                </wp:positionH>
                <wp:positionV relativeFrom="line">
                  <wp:posOffset>635</wp:posOffset>
                </wp:positionV>
                <wp:extent cx="1219200" cy="876300"/>
                <wp:effectExtent l="0" t="0" r="0" b="0"/>
                <wp:wrapNone/>
                <wp:docPr id="68" name="Frame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8763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Weighted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average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purchase price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per share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(EUR)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6pt;height:69pt;mso-wrap-distance-left:0pt;mso-wrap-distance-right:0pt;mso-wrap-distance-top:0pt;mso-wrap-distance-bottom:0pt;margin-top:0pt;mso-position-vertical:top;mso-position-vertical-relative:text;margin-left:168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Weighted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average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purchase price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per share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(EUR)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8">
                <wp:simplePos x="0" y="0"/>
                <wp:positionH relativeFrom="page">
                  <wp:posOffset>3352800</wp:posOffset>
                </wp:positionH>
                <wp:positionV relativeFrom="line">
                  <wp:posOffset>635</wp:posOffset>
                </wp:positionV>
                <wp:extent cx="1114425" cy="350520"/>
                <wp:effectExtent l="0" t="0" r="0" b="0"/>
                <wp:wrapNone/>
                <wp:docPr id="69" name="Frame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Total amount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paid (EUR)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87.75pt;height:27.6pt;mso-wrap-distance-left:0pt;mso-wrap-distance-right:0pt;mso-wrap-distance-top:0pt;mso-wrap-distance-bottom:0pt;margin-top:0pt;mso-position-vertical:top;mso-position-vertical-relative:text;margin-left:264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Total amount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paid (EUR)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89">
                <wp:simplePos x="0" y="0"/>
                <wp:positionH relativeFrom="page">
                  <wp:posOffset>4467225</wp:posOffset>
                </wp:positionH>
                <wp:positionV relativeFrom="line">
                  <wp:posOffset>635</wp:posOffset>
                </wp:positionV>
                <wp:extent cx="1285875" cy="876300"/>
                <wp:effectExtent l="0" t="0" r="0" b="0"/>
                <wp:wrapNone/>
                <wp:docPr id="70" name="Frame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8763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Market on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which the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shares were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 xml:space="preserve">bought (MIC </w:t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lineRule="atLeast" w:line="175" w:before="0" w:after="0"/>
                              <w:jc w:val="left"/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Arial;sans-serif" w:hAnsi="Arial;sans-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4"/>
                                <w:u w:val="none"/>
                                <w:effect w:val="none"/>
                              </w:rPr>
                              <w:t>code)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01.25pt;height:69pt;mso-wrap-distance-left:0pt;mso-wrap-distance-right:0pt;mso-wrap-distance-top:0pt;mso-wrap-distance-bottom:0pt;margin-top:0pt;mso-position-vertical:top;mso-position-vertical-relative:text;margin-left:351.7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Market on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which the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shares were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 xml:space="preserve">bought (MIC </w:t>
                      </w:r>
                    </w:p>
                    <w:p>
                      <w:pPr>
                        <w:pStyle w:val="TextBody"/>
                        <w:bidi w:val="0"/>
                        <w:spacing w:lineRule="atLeast" w:line="175" w:before="0" w:after="0"/>
                        <w:jc w:val="left"/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</w:pPr>
                      <w:r>
                        <w:rPr>
                          <w:rFonts w:ascii="Arial;sans-serif" w:hAnsi="Arial;sans-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4"/>
                          <w:u w:val="none"/>
                          <w:effect w:val="none"/>
                        </w:rPr>
                        <w:t>code)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Commission Delegated Regulation (EU) 2016/1052, a full breakdown of the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individual trades in the Program are disclosed on the ST website (https://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>investors.st.com/stock-and-bond-information/share-buyback).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>About STMicroelectronics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At ST, we are 49,000 creators and makers of semiconductor technologies mastering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the semiconductor supply chain with state-of-the-art manufacturing facilities. An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integrated device manufacturer, we work with more than 200,000 customers and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thousands of partners to design and build products, solutions, and ecosystems that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address their challenges and opportunities, and the need to support a more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sustainable world. Our technologies enable smarter mobility, more efficient power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and energy management, and the wide-scale deployment of cloud-connected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autonomous things. We are on track to be carbon neutral in all direct and indirect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emissions (scopes 1 and 2), product transportation, business travel, and employee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commuting emissions (our scope 3 focus), and to achieve our 100% renewable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electricity sourcing goal by the end of 2027. Further information can be found at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www.st.com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For more information, please contact: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INVESTOR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Jérôme Ramel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EVP Corporate Development &amp; Integrated External Communication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+41.22.929.59.20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jerome.ramel@st.com    </w:t>
      </w:r>
    </w:p>
    <w:p>
      <w:pPr>
        <w:pStyle w:val="TextBody"/>
        <w:bidi w:val="0"/>
        <w:spacing w:lineRule="atLeast" w:line="175" w:before="0" w:after="0"/>
        <w:jc w:val="left"/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  <w:shd w:fill="E4E4E4" w:val="clear"/>
        </w:rPr>
        <w:t xml:space="preserve">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MEDIA RELATIONS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Alexis Breton 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Group VP Corporate External Communications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  <w:shd w:fill="E4E4E4" w:val="clear"/>
        </w:rPr>
        <w:t xml:space="preserve">Tel: +33.6.59.16.79.08 </w:t>
      </w:r>
    </w:p>
    <w:p>
      <w:pPr>
        <w:pStyle w:val="TextBody"/>
        <w:bidi w:val="0"/>
        <w:spacing w:lineRule="atLeast" w:line="175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24"/>
          <w:shd w:fill="E4E4E4" w:val="clear"/>
        </w:rPr>
        <w:t xml:space="preserve">alexis.breton@st.com </w:t>
      </w:r>
    </w:p>
    <w:p>
      <w:pPr>
        <w:pStyle w:val="TextBody"/>
        <w:bidi w:val="0"/>
        <w:spacing w:lineRule="atLeast" w:line="142" w:before="0" w:after="0"/>
        <w:jc w:val="left"/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</w:pPr>
      <w:r>
        <w:rPr>
          <w:rFonts w:ascii="Times New Roman;serif" w:hAnsi="Times New Roman;serif"/>
          <w:b/>
          <w:i w:val="false"/>
          <w:caps w:val="false"/>
          <w:smallCaps w:val="false"/>
          <w:sz w:val="20"/>
          <w:shd w:fill="E4E4E4" w:val="clear"/>
        </w:rPr>
        <w:t>SIGNATURES</w:t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95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33415" cy="146685"/>
                <wp:effectExtent l="0" t="0" r="0" b="0"/>
                <wp:wrapNone/>
                <wp:docPr id="71" name="Frame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3415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Pursuant to the requirements of the Securities Exchange Act of 1934, the registrant has duly caused this report to</w:t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1.45pt;height:11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Pursuant to the requirements of the Securities Exchange Act of 1934, the registrant has duly caused this report to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6">
                <wp:simplePos x="0" y="0"/>
                <wp:positionH relativeFrom="page">
                  <wp:posOffset>6647815</wp:posOffset>
                </wp:positionH>
                <wp:positionV relativeFrom="line">
                  <wp:posOffset>635</wp:posOffset>
                </wp:positionV>
                <wp:extent cx="31750" cy="175260"/>
                <wp:effectExtent l="0" t="0" r="0" b="0"/>
                <wp:wrapNone/>
                <wp:docPr id="72" name="Frame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50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.5pt;height:13.8pt;mso-wrap-distance-left:0pt;mso-wrap-distance-right:0pt;mso-wrap-distance-top:0pt;mso-wrap-distance-bottom:0pt;margin-top:0pt;mso-position-vertical:top;mso-position-vertical-relative:text;margin-left:523.4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7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3538220" cy="293370"/>
                <wp:effectExtent l="0" t="0" r="0" b="0"/>
                <wp:wrapNone/>
                <wp:docPr id="73" name="Frame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8220" cy="29337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z w:val="20"/>
                              </w:rPr>
                              <w:t>be signed on its behalf by the undersigned, thereunto duly authorized.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278.6pt;height:23.1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</w:pPr>
                      <w:r>
                        <w:rPr>
                          <w:rFonts w:ascii="Times New Roman;serif" w:hAnsi="Times New Roman;serif"/>
                          <w:b w:val="false"/>
                          <w:i w:val="false"/>
                          <w:caps w:val="false"/>
                          <w:smallCaps w:val="false"/>
                          <w:sz w:val="20"/>
                        </w:rPr>
                        <w:t>be signed on its behalf by the undersigned, thereunto duly authorized.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98">
                <wp:simplePos x="0" y="0"/>
                <wp:positionH relativeFrom="page">
                  <wp:posOffset>914400</wp:posOffset>
                </wp:positionH>
                <wp:positionV relativeFrom="line">
                  <wp:posOffset>635</wp:posOffset>
                </wp:positionV>
                <wp:extent cx="5753100" cy="1886585"/>
                <wp:effectExtent l="0" t="0" r="0" b="0"/>
                <wp:wrapNone/>
                <wp:docPr id="74" name="Frame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3100" cy="18865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tbl>
                            <w:tblPr>
                              <w:tblW w:w="4040" w:type="dxa"/>
                              <w:jc w:val="left"/>
                              <w:tblInd w:w="0" w:type="dxa"/>
                              <w:tblLayout w:type="fixed"/>
                              <w:tblCellMar>
                                <w:top w:w="28" w:type="dxa"/>
                                <w:left w:w="28" w:type="dxa"/>
                                <w:bottom w:w="28" w:type="dxa"/>
                                <w:right w:w="28" w:type="dxa"/>
                              </w:tblCellMar>
                            </w:tblPr>
                            <w:tblGrid>
                              <w:gridCol w:w="601"/>
                              <w:gridCol w:w="109"/>
                              <w:gridCol w:w="109"/>
                              <w:gridCol w:w="3221"/>
                            </w:tblGrid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lineRule="atLeast" w:line="142" w:before="0" w:after="0"/>
                                    <w:jc w:val="left"/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</w:pPr>
                                  <w:r>
                                    <w:rPr>
                                      <w:rFonts w:ascii="Times New Roman;serif" w:hAnsi="Times New Roman;serif"/>
                                      <w:b w:val="false"/>
                                      <w:i w:val="false"/>
                                      <w:caps w:val="false"/>
                                      <w:smallCaps w:val="false"/>
                                      <w:strike w:val="false"/>
                                      <w:dstrike w:val="false"/>
                                      <w:color w:val="000000"/>
                                      <w:sz w:val="20"/>
                                      <w:u w:val="none"/>
                                      <w:effect w:val="none"/>
                                    </w:rPr>
                                    <w:t xml:space="preserve">Date: </w:t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  <w:tr>
                              <w:trPr/>
                              <w:tc>
                                <w:tcPr>
                                  <w:tcW w:w="60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109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3221" w:type="dxa"/>
                                  <w:tcBorders/>
                                  <w:vAlign w:val="center"/>
                                </w:tcPr>
                                <w:p>
                                  <w:pPr>
                                    <w:pStyle w:val="TableContents"/>
                                    <w:bidi w:val="0"/>
                                    <w:spacing w:before="0" w:after="283"/>
                                    <w:jc w:val="left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  <w:r>
                                    <w:rPr>
                                      <w:sz w:val="4"/>
                                      <w:szCs w:val="4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TextBody"/>
                              <w:bidi w:val="0"/>
                              <w:spacing w:before="0" w:after="283"/>
                              <w:jc w:val="left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3pt;height:148.55pt;mso-wrap-distance-left:0pt;mso-wrap-distance-right:0pt;mso-wrap-distance-top:0pt;mso-wrap-distance-bottom:0pt;margin-top:0pt;mso-position-vertical:top;mso-position-vertical-relative:text;margin-left:72pt;mso-position-horizontal-relative:page">
                <v:textbox>
                  <w:txbxContent>
                    <w:tbl>
                      <w:tblPr>
                        <w:tblW w:w="4040" w:type="dxa"/>
                        <w:jc w:val="left"/>
                        <w:tblInd w:w="0" w:type="dxa"/>
                        <w:tblLayout w:type="fixed"/>
                        <w:tblCellMar>
                          <w:top w:w="28" w:type="dxa"/>
                          <w:left w:w="28" w:type="dxa"/>
                          <w:bottom w:w="28" w:type="dxa"/>
                          <w:right w:w="28" w:type="dxa"/>
                        </w:tblCellMar>
                      </w:tblPr>
                      <w:tblGrid>
                        <w:gridCol w:w="601"/>
                        <w:gridCol w:w="109"/>
                        <w:gridCol w:w="109"/>
                        <w:gridCol w:w="3221"/>
                      </w:tblGrid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 w:val="false"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 xml:space="preserve">Date: </w:t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  <w:tr>
                        <w:trPr/>
                        <w:tc>
                          <w:tcPr>
                            <w:tcW w:w="60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109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  <w:tc>
                          <w:tcPr>
                            <w:tcW w:w="3221" w:type="dxa"/>
                            <w:tcBorders/>
                            <w:vAlign w:val="center"/>
                          </w:tcPr>
                          <w:p>
                            <w:pPr>
                              <w:pStyle w:val="TableContents"/>
                              <w:bidi w:val="0"/>
                              <w:spacing w:before="0" w:after="283"/>
                              <w:jc w:val="left"/>
                              <w:rPr>
                                <w:sz w:val="4"/>
                                <w:szCs w:val="4"/>
                              </w:rPr>
                            </w:pPr>
                            <w:r>
                              <w:rPr>
                                <w:sz w:val="4"/>
                                <w:szCs w:val="4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TextBody"/>
                        <w:bidi w:val="0"/>
                        <w:spacing w:before="0" w:after="283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106">
                <wp:simplePos x="0" y="0"/>
                <wp:positionH relativeFrom="page">
                  <wp:posOffset>3790950</wp:posOffset>
                </wp:positionH>
                <wp:positionV relativeFrom="line">
                  <wp:posOffset>635</wp:posOffset>
                </wp:positionV>
                <wp:extent cx="1962150" cy="146685"/>
                <wp:effectExtent l="0" t="0" r="0" b="0"/>
                <wp:wrapNone/>
                <wp:docPr id="75" name="Frame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2150" cy="14668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lineRule="atLeast" w:line="142" w:before="0" w:after="0"/>
                              <w:jc w:val="left"/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</w:pPr>
                            <w:r>
                              <w:rPr>
                                <w:rFonts w:ascii="Times New Roman;serif" w:hAnsi="Times New Roman;serif"/>
                                <w:b/>
                                <w:i w:val="false"/>
                                <w:caps w:val="false"/>
                                <w:smallCaps w:val="false"/>
                                <w:strike w:val="false"/>
                                <w:dstrike w:val="false"/>
                                <w:color w:val="000000"/>
                                <w:sz w:val="20"/>
                                <w:u w:val="none"/>
                                <w:effect w:val="none"/>
                              </w:rPr>
                              <w:t>STMicroelectronics N.V.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54.5pt;height:11.55pt;mso-wrap-distance-left:0pt;mso-wrap-distance-right:0pt;mso-wrap-distance-top:0pt;mso-wrap-distance-bottom:0pt;margin-top:0pt;mso-position-vertical:top;mso-position-vertical-relative:text;margin-left:298.5pt;mso-position-horizontal-relative:page">
                <v:textbox>
                  <w:txbxContent>
                    <w:p>
                      <w:pPr>
                        <w:pStyle w:val="TextBody"/>
                        <w:bidi w:val="0"/>
                        <w:spacing w:lineRule="atLeast" w:line="142" w:before="0" w:after="0"/>
                        <w:jc w:val="left"/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</w:pPr>
                      <w:r>
                        <w:rPr>
                          <w:rFonts w:ascii="Times New Roman;serif" w:hAnsi="Times New Roman;serif"/>
                          <w:b/>
                          <w:i w:val="false"/>
                          <w:caps w:val="false"/>
                          <w:smallCaps w:val="false"/>
                          <w:strike w:val="false"/>
                          <w:dstrike w:val="false"/>
                          <w:color w:val="000000"/>
                          <w:sz w:val="20"/>
                          <w:u w:val="none"/>
                          <w:effect w:val="none"/>
                        </w:rPr>
                        <w:t>STMicroelectronics N.V.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740</Words>
  <Characters>4527</Characters>
  <CharactersWithSpaces>5351</CharactersWithSpaces>
  <Paragraphs>146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