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July,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Form 20</w:t>
        <w:noBreakHyphen/>
        <w:t>F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July 6, 2026, announcing the results of trading in STMicroelectronics' 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July 6, 2026, announcing the results of trading in STMicroelectronics' 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as part of the previously announced share buy-back program for the period from June, 29, 2026, to July,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as part of the previously announced share buy-back program for the period from June, 29, 2026, to July,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476250" cy="146685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03, 2026.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03, 2026.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 of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N°C3400C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N°C3400C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June 29, 2026 to July 03,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51"/>
                              <w:gridCol w:w="1526"/>
                              <w:gridCol w:w="2036"/>
                              <w:gridCol w:w="1766"/>
                              <w:gridCol w:w="2171"/>
                            </w:tblGrid>
                            <w:tr>
                              <w:trPr/>
                              <w:tc>
                                <w:tcPr>
                                  <w:tcW w:w="20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29-Jun-26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30-Jun-26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5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51"/>
                        <w:gridCol w:w="1526"/>
                        <w:gridCol w:w="2036"/>
                        <w:gridCol w:w="1766"/>
                        <w:gridCol w:w="2171"/>
                      </w:tblGrid>
                      <w:tr>
                        <w:trPr/>
                        <w:tc>
                          <w:tcPr>
                            <w:tcW w:w="20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29-Jun-26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30-Jun-26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5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4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18,882,103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18,882,103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3233420</wp:posOffset>
                </wp:positionH>
                <wp:positionV relativeFrom="line">
                  <wp:posOffset>635</wp:posOffset>
                </wp:positionV>
                <wp:extent cx="97155" cy="175260"/>
                <wp:effectExtent l="0" t="0" r="0" b="0"/>
                <wp:wrapNone/>
                <wp:docPr id="4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65pt;height:13.8pt;mso-wrap-distance-left:0pt;mso-wrap-distance-right:0pt;mso-wrap-distance-top:0pt;mso-wrap-distance-bottom:0pt;margin-top:0pt;mso-position-vertical:top;mso-position-vertical-relative:text;margin-left:25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3330575</wp:posOffset>
                </wp:positionH>
                <wp:positionV relativeFrom="line">
                  <wp:posOffset>635</wp:posOffset>
                </wp:positionV>
                <wp:extent cx="3315970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9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.1pt;height:13.8pt;mso-wrap-distance-left:0pt;mso-wrap-distance-right:0pt;mso-wrap-distance-top:0pt;mso-wrap-distance-bottom:0pt;margin-top:0pt;mso-position-vertical:top;mso-position-vertical-relative:text;margin-left:2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175260"/>
                <wp:effectExtent l="0" t="0" r="0" b="0"/>
                <wp:wrapNone/>
                <wp:docPr id="5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July 06,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July 06,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35052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 June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 June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29, 2026 to July 03, 2026 (the “Period”), of  145,390 ordinary shares (equal to 0.02%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29, 2026 to July 03, 2026 (the “Period”), of  145,390 ordinary shares (equal to 0.02%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of its issued share capital) at the weighted average purchase price per share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of its issued share capital) at the weighted average purchase price per share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63.5445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63.5445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5878195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8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2.8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31545" cy="35052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9,238,728.20.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9,238,728.20.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38250" cy="350520"/>
                <wp:effectExtent l="0" t="0" r="0" b="0"/>
                <wp:wrapNone/>
                <wp:docPr id="6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1238250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2152650</wp:posOffset>
                </wp:positionH>
                <wp:positionV relativeFrom="line">
                  <wp:posOffset>635</wp:posOffset>
                </wp:positionV>
                <wp:extent cx="1238250" cy="87630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69pt;mso-wrap-distance-left:0pt;mso-wrap-distance-right:0pt;mso-wrap-distance-top:0pt;mso-wrap-distance-bottom:0pt;margin-top:0pt;mso-position-vertical:top;mso-position-vertical-relative:text;margin-left:1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3390900</wp:posOffset>
                </wp:positionH>
                <wp:positionV relativeFrom="line">
                  <wp:posOffset>635</wp:posOffset>
                </wp:positionV>
                <wp:extent cx="1066800" cy="35052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27.6pt;mso-wrap-distance-left:0pt;mso-wrap-distance-right:0pt;mso-wrap-distance-top:0pt;mso-wrap-distance-bottom:0pt;margin-top:0pt;mso-position-vertical:top;mso-position-vertical-relative:text;margin-left:2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4457700</wp:posOffset>
                </wp:positionH>
                <wp:positionV relativeFrom="line">
                  <wp:posOffset>635</wp:posOffset>
                </wp:positionV>
                <wp:extent cx="1295400" cy="70104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701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the 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55.2pt;mso-wrap-distance-left:0pt;mso-wrap-distance-right:0pt;mso-wrap-distance-top:0pt;mso-wrap-distance-bottom:0pt;margin-top:0pt;mso-position-vertical:top;mso-position-vertical-relative:text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which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the 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2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0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740</Words>
  <Characters>4494</Characters>
  <CharactersWithSpaces>5310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