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82" w:lineRule="exact"/>
        <w:rPr>
          <w:sz w:val="24"/>
          <w:szCs w:val="24"/>
          <w:color w:val="auto"/>
        </w:rPr>
      </w:pPr>
    </w:p>
    <w:p>
      <w:pPr>
        <w:jc w:val="center"/>
        <w:ind w:left="560" w:right="579"/>
        <w:spacing w:after="0" w:line="287" w:lineRule="auto"/>
        <w:rPr>
          <w:sz w:val="20"/>
          <w:szCs w:val="20"/>
          <w:color w:val="auto"/>
        </w:rPr>
      </w:pPr>
      <w:r>
        <w:rPr>
          <w:rFonts w:ascii="Times New Roman" w:cs="Times New Roman" w:eastAsia="Times New Roman" w:hAnsi="Times New Roman"/>
          <w:sz w:val="22"/>
          <w:szCs w:val="22"/>
          <w:b w:val="1"/>
          <w:bCs w:val="1"/>
          <w:color w:val="231F20"/>
        </w:rPr>
        <w:t>REPORT OF FOREIGN PRIVATE ISSUER PURSUANT TO RULE 13a-16 OR 15d-16 UNDER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 the month of March,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Commission File Number: 1-13546</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STMicroelectronics N.V.</w:t>
      </w:r>
    </w:p>
    <w:p>
      <w:pPr>
        <w:spacing w:after="0" w:line="93"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231F20"/>
        </w:rPr>
        <w:t>____________________________________________________________________________________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(Name of Registrant)</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color w:val="auto"/>
        </w:rPr>
        <w:t>WTC Schiphol Airport</w:t>
      </w:r>
    </w:p>
    <w:p>
      <w:pPr>
        <w:spacing w:after="0" w:line="2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0"/>
          <w:szCs w:val="20"/>
          <w:color w:val="auto"/>
        </w:rPr>
        <w:t>Schiphol Boulevard 265</w:t>
      </w:r>
    </w:p>
    <w:p>
      <w:pPr>
        <w:spacing w:after="0" w:line="1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0"/>
          <w:szCs w:val="20"/>
          <w:color w:val="auto"/>
        </w:rPr>
        <w:t>1118 BH Schiphol Airport</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Netherlands</w:t>
      </w:r>
    </w:p>
    <w:p>
      <w:pPr>
        <w:spacing w:after="0" w:line="6"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231F20"/>
        </w:rPr>
        <w:t>____________________________________________________________________________________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Form 40-F:</w:t>
      </w:r>
    </w:p>
    <w:p>
      <w:pPr>
        <w:spacing w:after="0" w:line="150" w:lineRule="exact"/>
        <w:rPr>
          <w:sz w:val="24"/>
          <w:szCs w:val="24"/>
          <w:color w:val="auto"/>
        </w:rPr>
      </w:pPr>
    </w:p>
    <w:p>
      <w:pPr>
        <w:ind w:left="3040"/>
        <w:spacing w:after="0" w:line="230" w:lineRule="exact"/>
        <w:tabs>
          <w:tab w:leader="none" w:pos="4840" w:val="left"/>
        </w:tabs>
        <w:rPr>
          <w:sz w:val="20"/>
          <w:szCs w:val="20"/>
          <w:color w:val="auto"/>
        </w:rPr>
      </w:pPr>
      <w:r>
        <w:rPr>
          <w:rFonts w:ascii="Times New Roman" w:cs="Times New Roman" w:eastAsia="Times New Roman" w:hAnsi="Times New Roman"/>
          <w:sz w:val="18"/>
          <w:szCs w:val="18"/>
          <w:color w:val="auto"/>
        </w:rPr>
        <w:t>Form 20-F</w:t>
      </w:r>
      <w:r>
        <w:rPr>
          <w:rFonts w:ascii="Arial" w:cs="Arial" w:eastAsia="Arial" w:hAnsi="Arial"/>
          <w:sz w:val="15"/>
          <w:szCs w:val="15"/>
          <w:b w:val="1"/>
          <w:bCs w:val="1"/>
          <w:color w:val="auto"/>
        </w:rPr>
        <w:t>Q</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560" w:right="459"/>
        <w:spacing w:after="0" w:line="282" w:lineRule="auto"/>
        <w:rPr>
          <w:sz w:val="20"/>
          <w:szCs w:val="20"/>
          <w:color w:val="auto"/>
        </w:rPr>
      </w:pPr>
      <w:r>
        <w:rPr>
          <w:rFonts w:ascii="Times New Roman" w:cs="Times New Roman" w:eastAsia="Times New Roman" w:hAnsi="Times New Roman"/>
          <w:sz w:val="18"/>
          <w:szCs w:val="18"/>
          <w:color w:val="auto"/>
        </w:rPr>
        <w:t>Enclosure: A press release dated March 26, 2026, announcing STMicroelectronics Reports on resolutions to be proposed at the 2026 Annual General Meeting of Shareholders.</w:t>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6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 N°C3389C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STMicroelectronics Reports on Resolutions to be Proposed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 the 2026 Annual General Meeting of Shareholders</w:t>
      </w:r>
    </w:p>
    <w:p>
      <w:pPr>
        <w:spacing w:after="0" w:line="241" w:lineRule="exact"/>
        <w:rPr>
          <w:sz w:val="20"/>
          <w:szCs w:val="20"/>
          <w:color w:val="auto"/>
        </w:rPr>
      </w:pPr>
    </w:p>
    <w:p>
      <w:pPr>
        <w:ind w:left="440" w:right="559"/>
        <w:spacing w:after="0" w:line="260" w:lineRule="auto"/>
        <w:rPr>
          <w:sz w:val="20"/>
          <w:szCs w:val="20"/>
          <w:color w:val="auto"/>
        </w:rPr>
      </w:pPr>
      <w:r>
        <w:rPr>
          <w:rFonts w:ascii="Arial" w:cs="Arial" w:eastAsia="Arial" w:hAnsi="Arial"/>
          <w:sz w:val="20"/>
          <w:szCs w:val="20"/>
          <w:b w:val="1"/>
          <w:bCs w:val="1"/>
          <w:color w:val="auto"/>
        </w:rPr>
        <w:t xml:space="preserve">Amsterdam, March 26, 2026 </w:t>
      </w:r>
      <w:r>
        <w:rPr>
          <w:rFonts w:ascii="Arial" w:cs="Arial" w:eastAsia="Arial" w:hAnsi="Arial"/>
          <w:sz w:val="20"/>
          <w:szCs w:val="20"/>
          <w:color w:val="auto"/>
        </w:rPr>
        <w:t>-</w:t>
      </w:r>
      <w:r>
        <w:rPr>
          <w:rFonts w:ascii="Arial" w:cs="Arial" w:eastAsia="Arial" w:hAnsi="Arial"/>
          <w:sz w:val="20"/>
          <w:szCs w:val="20"/>
          <w:b w:val="1"/>
          <w:bCs w:val="1"/>
          <w:color w:val="auto"/>
        </w:rPr>
        <w:t xml:space="preserve"> STMicroelectronics (NYSE: STM), </w:t>
      </w:r>
      <w:r>
        <w:rPr>
          <w:rFonts w:ascii="Arial" w:cs="Arial" w:eastAsia="Arial" w:hAnsi="Arial"/>
          <w:sz w:val="20"/>
          <w:szCs w:val="20"/>
          <w:color w:val="auto"/>
        </w:rPr>
        <w:t>a global semiconductor</w:t>
      </w:r>
      <w:r>
        <w:rPr>
          <w:rFonts w:ascii="Arial" w:cs="Arial" w:eastAsia="Arial" w:hAnsi="Arial"/>
          <w:sz w:val="20"/>
          <w:szCs w:val="20"/>
          <w:b w:val="1"/>
          <w:bCs w:val="1"/>
          <w:color w:val="auto"/>
        </w:rPr>
        <w:t xml:space="preserve"> </w:t>
      </w:r>
      <w:r>
        <w:rPr>
          <w:rFonts w:ascii="Arial" w:cs="Arial" w:eastAsia="Arial" w:hAnsi="Arial"/>
          <w:sz w:val="20"/>
          <w:szCs w:val="20"/>
          <w:color w:val="auto"/>
        </w:rPr>
        <w:t>leader serving customers across the spectrum of electronics applications, announced the resolutions to be submitted for adoption at the Annual General Meeting of Shareholders (AGM) which will be held in Amsterdam, the Netherlands, on May 27, 2026.</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resolutions, proposed by the Supervisory Board, are:</w:t>
      </w:r>
    </w:p>
    <w:p>
      <w:pPr>
        <w:spacing w:after="0" w:line="243" w:lineRule="exact"/>
        <w:rPr>
          <w:sz w:val="20"/>
          <w:szCs w:val="20"/>
          <w:color w:val="auto"/>
        </w:rPr>
      </w:pPr>
    </w:p>
    <w:p>
      <w:pPr>
        <w:ind w:left="1080" w:right="699" w:hanging="316"/>
        <w:spacing w:after="0" w:line="242"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adoption of the Company's statutory annual accounts for the year ended December 31, 2025, prepared in accordance with International Financial Reporting Standards (IFRS). The 2025 statutory annual accounts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were filed with the Netherlands Authority for the Financial Markets (AFM) on March 26, 2026 and are posted on the Company’s website (</w:t>
      </w:r>
      <w:r>
        <w:rPr>
          <w:rFonts w:ascii="Arial" w:cs="Arial" w:eastAsia="Arial" w:hAnsi="Arial"/>
          <w:sz w:val="20"/>
          <w:szCs w:val="20"/>
          <w:u w:val="single" w:color="auto"/>
          <w:color w:val="0563C1"/>
        </w:rPr>
        <w:t>www.st.com</w:t>
      </w:r>
      <w:r>
        <w:rPr>
          <w:rFonts w:ascii="Arial" w:cs="Arial" w:eastAsia="Arial" w:hAnsi="Arial"/>
          <w:sz w:val="20"/>
          <w:szCs w:val="20"/>
          <w:color w:val="auto"/>
        </w:rPr>
        <w:t>) and the AFM’s website (</w:t>
      </w:r>
      <w:r>
        <w:rPr>
          <w:rFonts w:ascii="Arial" w:cs="Arial" w:eastAsia="Arial" w:hAnsi="Arial"/>
          <w:sz w:val="20"/>
          <w:szCs w:val="20"/>
          <w:u w:val="single" w:color="auto"/>
          <w:color w:val="0563C1"/>
        </w:rPr>
        <w:t>www.afm.nl</w:t>
      </w:r>
      <w:r>
        <w:rPr>
          <w:rFonts w:ascii="Arial" w:cs="Arial" w:eastAsia="Arial" w:hAnsi="Arial"/>
          <w:sz w:val="20"/>
          <w:szCs w:val="20"/>
          <w:color w:val="auto"/>
        </w:rPr>
        <w:t>);</w:t>
      </w:r>
    </w:p>
    <w:p>
      <w:pPr>
        <w:spacing w:after="0" w:line="223" w:lineRule="exact"/>
        <w:rPr>
          <w:rFonts w:ascii="Times New Roman" w:cs="Times New Roman" w:eastAsia="Times New Roman" w:hAnsi="Times New Roman"/>
          <w:sz w:val="20"/>
          <w:szCs w:val="20"/>
          <w:color w:val="auto"/>
        </w:rPr>
      </w:pPr>
    </w:p>
    <w:p>
      <w:pPr>
        <w:ind w:left="1080" w:right="659" w:hanging="316"/>
        <w:spacing w:after="0" w:line="254"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distribution of a cash dividend of US$ 0.36 per outstanding share of the Company’s common stock, to be distributed in quarterly installments of US$ 0.09 in each of the second, third and fourth quarters of 2026 and first quarter of 2027 to shareholders of record in the month of each quarterly payment as per the table below;</w:t>
      </w:r>
    </w:p>
    <w:p>
      <w:pPr>
        <w:spacing w:after="0" w:line="199" w:lineRule="exact"/>
        <w:rPr>
          <w:rFonts w:ascii="Times New Roman" w:cs="Times New Roman" w:eastAsia="Times New Roman" w:hAnsi="Times New Roman"/>
          <w:sz w:val="20"/>
          <w:szCs w:val="20"/>
          <w:color w:val="auto"/>
        </w:rPr>
      </w:pPr>
    </w:p>
    <w:p>
      <w:pPr>
        <w:ind w:left="1080" w:right="719" w:hanging="316"/>
        <w:spacing w:after="0" w:line="285"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reappointment of Mr. Frédéric Sanchez, as member of the Supervisory Board, for a three-year term expiring at the end of the 2029 AGM;</w:t>
      </w:r>
    </w:p>
    <w:p>
      <w:pPr>
        <w:spacing w:after="0" w:line="168" w:lineRule="exact"/>
        <w:rPr>
          <w:rFonts w:ascii="Times New Roman" w:cs="Times New Roman" w:eastAsia="Times New Roman" w:hAnsi="Times New Roman"/>
          <w:sz w:val="20"/>
          <w:szCs w:val="20"/>
          <w:color w:val="auto"/>
        </w:rPr>
      </w:pPr>
    </w:p>
    <w:p>
      <w:pPr>
        <w:ind w:left="1080" w:right="779" w:hanging="316"/>
        <w:spacing w:after="0" w:line="285"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the stock-based portion of the compensation of the President and CEO;</w:t>
      </w:r>
    </w:p>
    <w:p>
      <w:pPr>
        <w:spacing w:after="0" w:line="168" w:lineRule="exact"/>
        <w:rPr>
          <w:rFonts w:ascii="Times New Roman" w:cs="Times New Roman" w:eastAsia="Times New Roman" w:hAnsi="Times New Roman"/>
          <w:sz w:val="20"/>
          <w:szCs w:val="20"/>
          <w:color w:val="auto"/>
        </w:rPr>
      </w:pPr>
    </w:p>
    <w:p>
      <w:pPr>
        <w:ind w:left="1080" w:right="779" w:hanging="316"/>
        <w:spacing w:after="0" w:line="271"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the stock-based portion of the compensation of the President and CFO;</w:t>
      </w:r>
    </w:p>
    <w:p>
      <w:pPr>
        <w:spacing w:after="0" w:line="195" w:lineRule="exact"/>
        <w:rPr>
          <w:rFonts w:ascii="Times New Roman" w:cs="Times New Roman" w:eastAsia="Times New Roman" w:hAnsi="Times New Roman"/>
          <w:sz w:val="20"/>
          <w:szCs w:val="20"/>
          <w:color w:val="auto"/>
        </w:rPr>
      </w:pPr>
    </w:p>
    <w:p>
      <w:pPr>
        <w:ind w:left="1080" w:right="719" w:hanging="316"/>
        <w:spacing w:after="0" w:line="271"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authorization to the Managing Board, until the conclusion of the 2027 AGM, to repurchase shares, subject to the approval of the Supervisory Board;</w:t>
      </w:r>
    </w:p>
    <w:p>
      <w:pPr>
        <w:spacing w:after="0" w:line="181" w:lineRule="exact"/>
        <w:rPr>
          <w:rFonts w:ascii="Times New Roman" w:cs="Times New Roman" w:eastAsia="Times New Roman" w:hAnsi="Times New Roman"/>
          <w:sz w:val="20"/>
          <w:szCs w:val="20"/>
          <w:color w:val="auto"/>
        </w:rPr>
      </w:pPr>
    </w:p>
    <w:p>
      <w:pPr>
        <w:ind w:left="1080" w:right="899" w:hanging="316"/>
        <w:spacing w:after="0" w:line="259"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delegation to the Supervisory Board of the authority to issue new common shares, to grant rights to subscribe for such shares, and to limit and/or exclude existing shareholders’ pre-emptive rights on common shares, until the end of the 2027 AGM;</w:t>
      </w:r>
    </w:p>
    <w:p>
      <w:pPr>
        <w:spacing w:after="0" w:line="194" w:lineRule="exact"/>
        <w:rPr>
          <w:rFonts w:ascii="Times New Roman" w:cs="Times New Roman" w:eastAsia="Times New Roman" w:hAnsi="Times New Roman"/>
          <w:sz w:val="20"/>
          <w:szCs w:val="20"/>
          <w:color w:val="auto"/>
        </w:rPr>
      </w:pPr>
    </w:p>
    <w:p>
      <w:pPr>
        <w:ind w:left="1080" w:hanging="316"/>
        <w:spacing w:after="0"/>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discharge of the members of the Managing Board; and</w:t>
      </w:r>
    </w:p>
    <w:p>
      <w:pPr>
        <w:spacing w:after="0" w:line="255" w:lineRule="exact"/>
        <w:rPr>
          <w:rFonts w:ascii="Times New Roman" w:cs="Times New Roman" w:eastAsia="Times New Roman" w:hAnsi="Times New Roman"/>
          <w:sz w:val="20"/>
          <w:szCs w:val="20"/>
          <w:color w:val="auto"/>
        </w:rPr>
      </w:pPr>
    </w:p>
    <w:p>
      <w:pPr>
        <w:ind w:left="1080" w:hanging="316"/>
        <w:spacing w:after="0"/>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discharge of the members of the Supervisory Board.</w:t>
      </w:r>
    </w:p>
    <w:p>
      <w:pPr>
        <w:spacing w:after="0" w:line="216" w:lineRule="exact"/>
        <w:rPr>
          <w:sz w:val="20"/>
          <w:szCs w:val="20"/>
          <w:color w:val="auto"/>
        </w:rPr>
      </w:pPr>
    </w:p>
    <w:p>
      <w:pPr>
        <w:ind w:left="440" w:right="519"/>
        <w:spacing w:after="0" w:line="230" w:lineRule="auto"/>
        <w:tabs>
          <w:tab w:leader="none" w:pos="634"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The Annual Report includes the sustainability statement which is prepared based on the general principles of the Corporate Sustainability Reporting Directive (CSRD).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right="479"/>
        <w:spacing w:after="0" w:line="254" w:lineRule="auto"/>
        <w:rPr>
          <w:sz w:val="20"/>
          <w:szCs w:val="20"/>
          <w:color w:val="auto"/>
        </w:rPr>
      </w:pPr>
      <w:r>
        <w:rPr>
          <w:rFonts w:ascii="Arial" w:cs="Arial" w:eastAsia="Arial" w:hAnsi="Arial"/>
          <w:sz w:val="20"/>
          <w:szCs w:val="20"/>
          <w:color w:val="auto"/>
        </w:rPr>
        <w:t>The record date for all shareholders to participate at the Annual General Meeting of Shareholders will be April 29, 2026. The complete agenda and all relevant detailed information concerning the 2026 AGM, as well as all related AGM materials, are available on the Company’s website (www.st.com) and made available to shareholders in compliance with legal requirements as of March 26, 2026.</w:t>
      </w:r>
    </w:p>
    <w:p>
      <w:pPr>
        <w:sectPr>
          <w:pgSz w:w="11900" w:h="16838" w:orient="portrait"/>
          <w:cols w:equalWidth="0" w:num="1">
            <w:col w:w="9019"/>
          </w:cols>
          <w:pgMar w:left="1440" w:top="1440" w:right="1440" w:bottom="0" w:gutter="0" w:footer="0" w:header="0"/>
        </w:sectPr>
      </w:pPr>
    </w:p>
    <w:bookmarkStart w:id="2" w:name="page3"/>
    <w:bookmarkEnd w:id="2"/>
    <w:p>
      <w:pPr>
        <w:spacing w:after="0" w:line="39" w:lineRule="exact"/>
        <w:rPr>
          <w:sz w:val="20"/>
          <w:szCs w:val="20"/>
          <w:color w:val="auto"/>
        </w:rPr>
      </w:pPr>
    </w:p>
    <w:p>
      <w:pPr>
        <w:ind w:left="440" w:right="1420"/>
        <w:spacing w:after="0" w:line="225" w:lineRule="auto"/>
        <w:rPr>
          <w:sz w:val="20"/>
          <w:szCs w:val="20"/>
          <w:color w:val="auto"/>
        </w:rPr>
      </w:pPr>
      <w:r>
        <w:rPr>
          <w:rFonts w:ascii="Arial" w:cs="Arial" w:eastAsia="Arial" w:hAnsi="Arial"/>
          <w:sz w:val="19"/>
          <w:szCs w:val="19"/>
          <w:color w:val="auto"/>
        </w:rPr>
        <w:t>As for rule amendments from the Securities and Exchange Commission (SEC) and conforming FINRA rule changes, on US market the standard for settlement is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-219075</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440" w:right="1400"/>
        <w:spacing w:after="0" w:line="267" w:lineRule="auto"/>
        <w:rPr>
          <w:sz w:val="20"/>
          <w:szCs w:val="20"/>
          <w:color w:val="auto"/>
        </w:rPr>
      </w:pPr>
      <w:r>
        <w:rPr>
          <w:rFonts w:ascii="Arial" w:cs="Arial" w:eastAsia="Arial" w:hAnsi="Arial"/>
          <w:sz w:val="20"/>
          <w:szCs w:val="20"/>
          <w:color w:val="auto"/>
        </w:rPr>
        <w:t>business day after a trade or t+1. European settlement rule remains at t+2 for the time being.</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table below summarizes the full schedule for the quarterly dividends: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Transfer between New York and</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Dutch registered shares restricted:</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20" w:type="dxa"/>
            <w:vAlign w:val="bottom"/>
            <w:tcBorders>
              <w:right w:val="single" w:sz="8" w:color="auto"/>
            </w:tcBorders>
            <w:gridSpan w:val="3"/>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920" w:type="dxa"/>
            <w:vAlign w:val="bottom"/>
            <w:tcBorders>
              <w:right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Europe</w:t>
            </w:r>
          </w:p>
        </w:tc>
        <w:tc>
          <w:tcPr>
            <w:tcW w:w="1100" w:type="dxa"/>
            <w:vAlign w:val="bottom"/>
            <w:tcBorders>
              <w:top w:val="single" w:sz="8" w:color="auto"/>
              <w:right w:val="single" w:sz="8" w:color="auto"/>
            </w:tcBorders>
          </w:tcPr>
          <w:p>
            <w:pPr>
              <w:spacing w:after="0"/>
              <w:rPr>
                <w:sz w:val="23"/>
                <w:szCs w:val="23"/>
                <w:color w:val="auto"/>
              </w:rPr>
            </w:pPr>
          </w:p>
        </w:tc>
        <w:tc>
          <w:tcPr>
            <w:tcW w:w="2280" w:type="dxa"/>
            <w:vAlign w:val="bottom"/>
            <w:tcBorders>
              <w:top w:val="single" w:sz="8" w:color="auto"/>
              <w:right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in NYSE</w:t>
            </w:r>
          </w:p>
        </w:tc>
        <w:tc>
          <w:tcPr>
            <w:tcW w:w="24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 w:type="dxa"/>
            <w:vAlign w:val="bottom"/>
            <w:tcBorders>
              <w:right w:val="single" w:sz="8" w:color="auto"/>
            </w:tcBorders>
          </w:tcPr>
          <w:p>
            <w:pPr>
              <w:spacing w:after="0"/>
              <w:rPr>
                <w:sz w:val="20"/>
                <w:szCs w:val="20"/>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Ex-dividend</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Record</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Payment</w:t>
            </w:r>
          </w:p>
        </w:tc>
        <w:tc>
          <w:tcPr>
            <w:tcW w:w="1120" w:type="dxa"/>
            <w:vAlign w:val="bottom"/>
          </w:tcPr>
          <w:p>
            <w:pPr>
              <w:ind w:left="120"/>
              <w:spacing w:after="0"/>
              <w:rPr>
                <w:sz w:val="20"/>
                <w:szCs w:val="20"/>
                <w:color w:val="auto"/>
              </w:rPr>
            </w:pPr>
            <w:r>
              <w:rPr>
                <w:rFonts w:ascii="Arial" w:cs="Arial" w:eastAsia="Arial" w:hAnsi="Arial"/>
                <w:sz w:val="16"/>
                <w:szCs w:val="16"/>
                <w:color w:val="auto"/>
              </w:rPr>
              <w:t>Ex-dividend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Payment</w:t>
            </w:r>
          </w:p>
        </w:tc>
        <w:tc>
          <w:tcPr>
            <w:tcW w:w="240" w:type="dxa"/>
            <w:vAlign w:val="bottom"/>
            <w:tcBorders>
              <w:right w:val="single" w:sz="8" w:color="auto"/>
            </w:tcBorders>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From End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Until Open of</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vMerge w:val="restart"/>
          </w:tcPr>
          <w:p>
            <w:pPr>
              <w:ind w:left="120"/>
              <w:spacing w:after="0" w:line="162" w:lineRule="exact"/>
              <w:rPr>
                <w:sz w:val="20"/>
                <w:szCs w:val="20"/>
                <w:color w:val="auto"/>
              </w:rPr>
            </w:pPr>
            <w:r>
              <w:rPr>
                <w:rFonts w:ascii="Arial" w:cs="Arial" w:eastAsia="Arial" w:hAnsi="Arial"/>
                <w:sz w:val="16"/>
                <w:szCs w:val="16"/>
                <w:color w:val="auto"/>
              </w:rPr>
              <w:t>Quarter</w:t>
            </w: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20" w:type="dxa"/>
            <w:vAlign w:val="bottom"/>
            <w:vMerge w:val="restart"/>
          </w:tcPr>
          <w:p>
            <w:pPr>
              <w:ind w:left="100"/>
              <w:spacing w:after="0" w:line="162" w:lineRule="exact"/>
              <w:rPr>
                <w:sz w:val="20"/>
                <w:szCs w:val="20"/>
                <w:color w:val="auto"/>
              </w:rPr>
            </w:pPr>
            <w:r>
              <w:rPr>
                <w:rFonts w:ascii="Arial" w:cs="Arial" w:eastAsia="Arial" w:hAnsi="Arial"/>
                <w:sz w:val="16"/>
                <w:szCs w:val="16"/>
                <w:color w:val="auto"/>
              </w:rPr>
              <w:t>and Record</w:t>
            </w:r>
          </w:p>
        </w:tc>
        <w:tc>
          <w:tcPr>
            <w:tcW w:w="11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Date: on or</w:t>
            </w:r>
          </w:p>
        </w:tc>
        <w:tc>
          <w:tcPr>
            <w:tcW w:w="240" w:type="dxa"/>
            <w:vAlign w:val="bottom"/>
            <w:tcBorders>
              <w:right w:val="single" w:sz="8" w:color="auto"/>
            </w:tcBorders>
          </w:tcPr>
          <w:p>
            <w:pPr>
              <w:spacing w:after="0"/>
              <w:rPr>
                <w:sz w:val="7"/>
                <w:szCs w:val="7"/>
                <w:color w:val="auto"/>
              </w:rPr>
            </w:pPr>
          </w:p>
        </w:tc>
        <w:tc>
          <w:tcPr>
            <w:tcW w:w="13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Business in NY</w:t>
            </w:r>
          </w:p>
        </w:tc>
        <w:tc>
          <w:tcPr>
            <w:tcW w:w="13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Business in NY</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Date</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Date</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Date</w:t>
            </w:r>
          </w:p>
        </w:tc>
        <w:tc>
          <w:tcPr>
            <w:tcW w:w="1120" w:type="dxa"/>
            <w:vAlign w:val="bottom"/>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20" w:type="dxa"/>
            <w:vAlign w:val="bottom"/>
            <w:tcBorders>
              <w:right w:val="single" w:sz="8" w:color="auto"/>
            </w:tcBorders>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120" w:type="dxa"/>
            <w:vAlign w:val="bottom"/>
            <w:vMerge w:val="restart"/>
          </w:tcPr>
          <w:p>
            <w:pPr>
              <w:ind w:left="360"/>
              <w:spacing w:after="0"/>
              <w:rPr>
                <w:sz w:val="20"/>
                <w:szCs w:val="20"/>
                <w:color w:val="auto"/>
              </w:rPr>
            </w:pPr>
            <w:r>
              <w:rPr>
                <w:rFonts w:ascii="Arial" w:cs="Arial" w:eastAsia="Arial" w:hAnsi="Arial"/>
                <w:sz w:val="16"/>
                <w:szCs w:val="16"/>
                <w:color w:val="auto"/>
              </w:rPr>
              <w:t>Date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after</w:t>
            </w:r>
          </w:p>
        </w:tc>
        <w:tc>
          <w:tcPr>
            <w:tcW w:w="240" w:type="dxa"/>
            <w:vAlign w:val="bottom"/>
            <w:tcBorders>
              <w:right w:val="single" w:sz="8" w:color="auto"/>
            </w:tcBorders>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98"/>
              </w:rPr>
              <w:t>on:</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on:</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Q2 2026</w:t>
            </w:r>
          </w:p>
        </w:tc>
        <w:tc>
          <w:tcPr>
            <w:tcW w:w="1060" w:type="dxa"/>
            <w:vAlign w:val="bottom"/>
          </w:tcPr>
          <w:p>
            <w:pPr>
              <w:jc w:val="center"/>
              <w:spacing w:after="0"/>
              <w:rPr>
                <w:sz w:val="20"/>
                <w:szCs w:val="20"/>
                <w:color w:val="auto"/>
              </w:rPr>
            </w:pPr>
            <w:r>
              <w:rPr>
                <w:rFonts w:ascii="Arial" w:cs="Arial" w:eastAsia="Arial" w:hAnsi="Arial"/>
                <w:sz w:val="16"/>
                <w:szCs w:val="16"/>
                <w:color w:val="auto"/>
              </w:rPr>
              <w:t>22-Jun-26</w:t>
            </w:r>
          </w:p>
        </w:tc>
        <w:tc>
          <w:tcPr>
            <w:tcW w:w="1040" w:type="dxa"/>
            <w:vAlign w:val="bottom"/>
          </w:tcPr>
          <w:p>
            <w:pPr>
              <w:jc w:val="center"/>
              <w:spacing w:after="0"/>
              <w:rPr>
                <w:sz w:val="20"/>
                <w:szCs w:val="20"/>
                <w:color w:val="auto"/>
              </w:rPr>
            </w:pPr>
            <w:r>
              <w:rPr>
                <w:rFonts w:ascii="Arial" w:cs="Arial" w:eastAsia="Arial" w:hAnsi="Arial"/>
                <w:sz w:val="16"/>
                <w:szCs w:val="16"/>
                <w:color w:val="auto"/>
              </w:rPr>
              <w:t>23-Jun-26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24-Jun-26</w:t>
            </w:r>
          </w:p>
        </w:tc>
        <w:tc>
          <w:tcPr>
            <w:tcW w:w="1120" w:type="dxa"/>
            <w:vAlign w:val="bottom"/>
          </w:tcPr>
          <w:p>
            <w:pPr>
              <w:ind w:left="140"/>
              <w:spacing w:after="0"/>
              <w:rPr>
                <w:sz w:val="20"/>
                <w:szCs w:val="20"/>
                <w:color w:val="auto"/>
              </w:rPr>
            </w:pPr>
            <w:r>
              <w:rPr>
                <w:rFonts w:ascii="Arial" w:cs="Arial" w:eastAsia="Arial" w:hAnsi="Arial"/>
                <w:sz w:val="16"/>
                <w:szCs w:val="16"/>
                <w:color w:val="auto"/>
              </w:rPr>
              <w:t>23-Jun-26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30-Jun-26</w:t>
            </w:r>
          </w:p>
        </w:tc>
        <w:tc>
          <w:tcPr>
            <w:tcW w:w="240" w:type="dxa"/>
            <w:vAlign w:val="bottom"/>
            <w:tcBorders>
              <w:right w:val="single" w:sz="8" w:color="auto"/>
            </w:tcBorders>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18-Jun-26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24-Jun-26</w:t>
            </w:r>
          </w:p>
        </w:tc>
        <w:tc>
          <w:tcPr>
            <w:tcW w:w="0" w:type="dxa"/>
            <w:vAlign w:val="bottom"/>
          </w:tcPr>
          <w:p>
            <w:pPr>
              <w:spacing w:after="0"/>
              <w:rPr>
                <w:sz w:val="1"/>
                <w:szCs w:val="1"/>
                <w:color w:val="auto"/>
              </w:rPr>
            </w:pPr>
          </w:p>
        </w:tc>
      </w:tr>
      <w:tr>
        <w:trPr>
          <w:trHeight w:val="43"/>
        </w:trPr>
        <w:tc>
          <w:tcPr>
            <w:tcW w:w="9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Q3 2026</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21-Sep-26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22-Sep-26</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23-Sep-26</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22-Sep-26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29-Sep-26</w:t>
            </w:r>
          </w:p>
        </w:tc>
        <w:tc>
          <w:tcPr>
            <w:tcW w:w="2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18-Sep-26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23-Sep-26</w:t>
            </w:r>
          </w:p>
        </w:tc>
        <w:tc>
          <w:tcPr>
            <w:tcW w:w="0" w:type="dxa"/>
            <w:vAlign w:val="bottom"/>
          </w:tcPr>
          <w:p>
            <w:pPr>
              <w:spacing w:after="0"/>
              <w:rPr>
                <w:sz w:val="1"/>
                <w:szCs w:val="1"/>
                <w:color w:val="auto"/>
              </w:rPr>
            </w:pPr>
          </w:p>
        </w:tc>
      </w:tr>
      <w:tr>
        <w:trPr>
          <w:trHeight w:val="209"/>
        </w:trPr>
        <w:tc>
          <w:tcPr>
            <w:tcW w:w="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Q4 2026</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14-Dec-26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15-Dec-26</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16-Dec-26</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15-Dec-26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22-Dec-26</w:t>
            </w:r>
          </w:p>
        </w:tc>
        <w:tc>
          <w:tcPr>
            <w:tcW w:w="2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11-Dec-26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16-Dec-26</w:t>
            </w:r>
          </w:p>
        </w:tc>
        <w:tc>
          <w:tcPr>
            <w:tcW w:w="0" w:type="dxa"/>
            <w:vAlign w:val="bottom"/>
          </w:tcPr>
          <w:p>
            <w:pPr>
              <w:spacing w:after="0"/>
              <w:rPr>
                <w:sz w:val="1"/>
                <w:szCs w:val="1"/>
                <w:color w:val="auto"/>
              </w:rPr>
            </w:pPr>
          </w:p>
        </w:tc>
      </w:tr>
      <w:tr>
        <w:trPr>
          <w:trHeight w:val="210"/>
        </w:trPr>
        <w:tc>
          <w:tcPr>
            <w:tcW w:w="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Q1 2027</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15-Mar-27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16-Mar-27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17-Mar-27</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16-Mar-27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23-Mar-27</w:t>
            </w:r>
          </w:p>
        </w:tc>
        <w:tc>
          <w:tcPr>
            <w:tcW w:w="240" w:type="dxa"/>
            <w:vAlign w:val="bottom"/>
            <w:tcBorders>
              <w:right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12-Mar-27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17-Mar-27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About STMicroelectronics</w:t>
      </w:r>
    </w:p>
    <w:p>
      <w:pPr>
        <w:spacing w:after="0" w:line="26" w:lineRule="exact"/>
        <w:rPr>
          <w:sz w:val="20"/>
          <w:szCs w:val="20"/>
          <w:color w:val="auto"/>
        </w:rPr>
      </w:pPr>
    </w:p>
    <w:p>
      <w:pPr>
        <w:ind w:left="440" w:right="900"/>
        <w:spacing w:after="0" w:line="246" w:lineRule="auto"/>
        <w:rPr>
          <w:sz w:val="20"/>
          <w:szCs w:val="20"/>
          <w:color w:val="auto"/>
        </w:rPr>
      </w:pPr>
      <w:r>
        <w:rPr>
          <w:rFonts w:ascii="Arial" w:cs="Arial" w:eastAsia="Arial" w:hAnsi="Arial"/>
          <w:sz w:val="22"/>
          <w:szCs w:val="22"/>
          <w:color w:val="auto"/>
        </w:rPr>
        <w:t>At ST, we are 48,000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www.st.com.</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For more information, please contact:</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INVESTOR RELATIONS</w:t>
      </w:r>
    </w:p>
    <w:p>
      <w:pPr>
        <w:ind w:left="440"/>
        <w:spacing w:after="0"/>
        <w:rPr>
          <w:sz w:val="20"/>
          <w:szCs w:val="20"/>
          <w:color w:val="auto"/>
        </w:rPr>
      </w:pPr>
      <w:r>
        <w:rPr>
          <w:rFonts w:ascii="Arial" w:cs="Arial" w:eastAsia="Arial" w:hAnsi="Arial"/>
          <w:sz w:val="22"/>
          <w:szCs w:val="22"/>
          <w:color w:val="auto"/>
        </w:rPr>
        <w:t>Jérôme Ramel</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EVP Corporate Development &amp; Integrated External Communication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 +41.22.929.59.20</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jerome.ramel@st.com</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MEDIA RELATIONS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Alexis Breton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Group VP Corporate External Communications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 +33.6.59.16.79.08</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alexis.breton@st.com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40"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STMicroelectronics N.V.</w:t>
            </w:r>
          </w:p>
        </w:tc>
      </w:tr>
      <w:tr>
        <w:trPr>
          <w:trHeight w:val="41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21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Lorenzo Grandi</w:t>
            </w:r>
          </w:p>
        </w:tc>
      </w:tr>
      <w:tr>
        <w:trPr>
          <w:trHeight w:val="20"/>
        </w:trPr>
        <w:tc>
          <w:tcPr>
            <w:tcW w:w="3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93"/>
        </w:trPr>
        <w:tc>
          <w:tcPr>
            <w:tcW w:w="3160" w:type="dxa"/>
            <w:vAlign w:val="bottom"/>
          </w:tcPr>
          <w:p>
            <w:pPr>
              <w:spacing w:after="0"/>
              <w:rPr>
                <w:sz w:val="24"/>
                <w:szCs w:val="24"/>
                <w:color w:val="auto"/>
              </w:rPr>
            </w:pPr>
          </w:p>
        </w:tc>
        <w:tc>
          <w:tcPr>
            <w:tcW w:w="21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Name:</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highlight w:val="white"/>
              </w:rPr>
              <w:t>Lorenzo Grandi</w:t>
            </w:r>
          </w:p>
        </w:tc>
      </w:tr>
      <w:tr>
        <w:trPr>
          <w:trHeight w:val="256"/>
        </w:trPr>
        <w:tc>
          <w:tcPr>
            <w:tcW w:w="3160" w:type="dxa"/>
            <w:vAlign w:val="bottom"/>
          </w:tcPr>
          <w:p>
            <w:pPr>
              <w:spacing w:after="0"/>
              <w:rPr>
                <w:sz w:val="22"/>
                <w:szCs w:val="22"/>
                <w:color w:val="auto"/>
              </w:rPr>
            </w:pPr>
          </w:p>
        </w:tc>
        <w:tc>
          <w:tcPr>
            <w:tcW w:w="21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President and Chief Financial Officer</w:t>
            </w:r>
          </w:p>
        </w:tc>
      </w:tr>
    </w:tbl>
    <w:p>
      <w:pPr>
        <w:sectPr>
          <w:pgSz w:w="11900" w:h="16877" w:orient="portrait"/>
          <w:cols w:equalWidth="0" w:num="1">
            <w:col w:w="9360"/>
          </w:cols>
          <w:pgMar w:left="1440" w:top="75" w:right="1099" w:bottom="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1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314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2026-03-27T05:11:51Z</dcterms:created>
  <dcterms:modified xsi:type="dcterms:W3CDTF">2026-03-27T05:11:51Z</dcterms:modified>
</cp:coreProperties>
</file>