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t>UNITED STATES</w:t>
      </w:r>
    </w:p>
    <w:p>
      <w:pPr>
        <w:spacing w:after="0" w:line="5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SECURITIES AND EXCHANGE COMMISSION</w:t>
      </w:r>
    </w:p>
    <w:p>
      <w:pPr>
        <w:spacing w:after="0" w:line="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FORM SD</w:t>
      </w:r>
    </w:p>
    <w:p>
      <w:pPr>
        <w:spacing w:after="0" w:line="198"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SPECIALIZED DISCLOSURE REPORT</w:t>
      </w:r>
    </w:p>
    <w:p>
      <w:pPr>
        <w:spacing w:after="0" w:line="200" w:lineRule="exact"/>
        <w:rPr>
          <w:sz w:val="24"/>
          <w:szCs w:val="24"/>
          <w:color w:val="auto"/>
        </w:rPr>
      </w:pPr>
    </w:p>
    <w:p>
      <w:pPr>
        <w:spacing w:after="0" w:line="295"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STMicroelectronics N.V.</w:t>
      </w:r>
    </w:p>
    <w:p>
      <w:pPr>
        <w:spacing w:after="0" w:line="40"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0" w:lineRule="exact"/>
        <w:rPr>
          <w:sz w:val="24"/>
          <w:szCs w:val="24"/>
          <w:color w:val="auto"/>
        </w:rPr>
      </w:pPr>
    </w:p>
    <w:p>
      <w:pPr>
        <w:spacing w:after="0" w:line="291" w:lineRule="exact"/>
        <w:rPr>
          <w:sz w:val="24"/>
          <w:szCs w:val="24"/>
          <w:color w:val="auto"/>
        </w:rPr>
      </w:pPr>
    </w:p>
    <w:p>
      <w:pPr>
        <w:ind w:left="1460"/>
        <w:spacing w:after="0"/>
        <w:tabs>
          <w:tab w:leader="none" w:pos="5060" w:val="left"/>
          <w:tab w:leader="none" w:pos="8120" w:val="left"/>
        </w:tabs>
        <w:rPr>
          <w:sz w:val="20"/>
          <w:szCs w:val="20"/>
          <w:color w:val="auto"/>
        </w:rPr>
      </w:pPr>
      <w:r>
        <w:rPr>
          <w:rFonts w:ascii="Arial" w:cs="Arial" w:eastAsia="Arial" w:hAnsi="Arial"/>
          <w:sz w:val="18"/>
          <w:szCs w:val="18"/>
          <w:color w:val="auto"/>
        </w:rPr>
        <w:t>The Netherlands</w:t>
      </w:r>
      <w:r>
        <w:rPr>
          <w:sz w:val="20"/>
          <w:szCs w:val="20"/>
          <w:color w:val="auto"/>
        </w:rPr>
        <w:tab/>
      </w:r>
      <w:r>
        <w:rPr>
          <w:rFonts w:ascii="Arial" w:cs="Arial" w:eastAsia="Arial" w:hAnsi="Arial"/>
          <w:sz w:val="18"/>
          <w:szCs w:val="18"/>
          <w:color w:val="auto"/>
        </w:rPr>
        <w:t>1-13546</w:t>
      </w:r>
      <w:r>
        <w:rPr>
          <w:sz w:val="20"/>
          <w:szCs w:val="20"/>
          <w:color w:val="auto"/>
        </w:rPr>
        <w:tab/>
      </w:r>
      <w:r>
        <w:rPr>
          <w:rFonts w:ascii="Arial" w:cs="Arial" w:eastAsia="Arial" w:hAnsi="Arial"/>
          <w:sz w:val="17"/>
          <w:szCs w:val="17"/>
          <w:color w:val="auto"/>
        </w:rPr>
        <w:t>26-0047957</w:t>
      </w:r>
    </w:p>
    <w:p>
      <w:pPr>
        <w:spacing w:after="0" w:line="27" w:lineRule="exact"/>
        <w:rPr>
          <w:sz w:val="24"/>
          <w:szCs w:val="24"/>
          <w:color w:val="auto"/>
        </w:rPr>
      </w:pPr>
    </w:p>
    <w:p>
      <w:pPr>
        <w:ind w:left="380"/>
        <w:spacing w:after="0"/>
        <w:tabs>
          <w:tab w:leader="none" w:pos="4880" w:val="left"/>
          <w:tab w:leader="none" w:pos="80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8"/>
          <w:szCs w:val="18"/>
          <w:color w:val="auto"/>
        </w:rPr>
        <w:t>(Commission</w:t>
      </w:r>
      <w:r>
        <w:rPr>
          <w:sz w:val="20"/>
          <w:szCs w:val="20"/>
          <w:color w:val="auto"/>
        </w:rPr>
        <w:tab/>
      </w:r>
      <w:r>
        <w:rPr>
          <w:rFonts w:ascii="Arial" w:cs="Arial" w:eastAsia="Arial" w:hAnsi="Arial"/>
          <w:sz w:val="18"/>
          <w:szCs w:val="18"/>
          <w:color w:val="auto"/>
        </w:rPr>
        <w:t>(IRS Employer</w:t>
      </w:r>
    </w:p>
    <w:p>
      <w:pPr>
        <w:spacing w:after="0" w:line="9" w:lineRule="exact"/>
        <w:rPr>
          <w:sz w:val="24"/>
          <w:szCs w:val="24"/>
          <w:color w:val="auto"/>
        </w:rPr>
      </w:pPr>
    </w:p>
    <w:p>
      <w:pPr>
        <w:ind w:left="1620"/>
        <w:spacing w:after="0"/>
        <w:tabs>
          <w:tab w:leader="none" w:pos="4880" w:val="left"/>
          <w:tab w:leader="none" w:pos="7900" w:val="left"/>
        </w:tabs>
        <w:rPr>
          <w:sz w:val="20"/>
          <w:szCs w:val="20"/>
          <w:color w:val="auto"/>
        </w:rPr>
      </w:pPr>
      <w:r>
        <w:rPr>
          <w:rFonts w:ascii="Arial" w:cs="Arial" w:eastAsia="Arial" w:hAnsi="Arial"/>
          <w:sz w:val="18"/>
          <w:szCs w:val="18"/>
          <w:color w:val="auto"/>
        </w:rPr>
        <w:t>organization)</w:t>
      </w:r>
      <w:r>
        <w:rPr>
          <w:sz w:val="20"/>
          <w:szCs w:val="20"/>
          <w:color w:val="auto"/>
        </w:rPr>
        <w:tab/>
      </w:r>
      <w:r>
        <w:rPr>
          <w:rFonts w:ascii="Arial" w:cs="Arial" w:eastAsia="Arial" w:hAnsi="Arial"/>
          <w:sz w:val="18"/>
          <w:szCs w:val="18"/>
          <w:color w:val="auto"/>
        </w:rPr>
        <w:t>File Number)</w:t>
      </w:r>
      <w:r>
        <w:rPr>
          <w:sz w:val="20"/>
          <w:szCs w:val="20"/>
          <w:color w:val="auto"/>
        </w:rPr>
        <w:tab/>
      </w:r>
      <w:r>
        <w:rPr>
          <w:rFonts w:ascii="Arial" w:cs="Arial" w:eastAsia="Arial" w:hAnsi="Arial"/>
          <w:sz w:val="17"/>
          <w:szCs w:val="17"/>
          <w:color w:val="auto"/>
        </w:rPr>
        <w:t>Identification No.)</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WTC Schiphol Airport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Schiphol Boulevard 265</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1118 Schiphol</w:t>
      </w:r>
    </w:p>
    <w:p>
      <w:pPr>
        <w:spacing w:after="0" w:line="229" w:lineRule="exact"/>
        <w:rPr>
          <w:sz w:val="24"/>
          <w:szCs w:val="24"/>
          <w:color w:val="auto"/>
        </w:rPr>
      </w:pPr>
    </w:p>
    <w:p>
      <w:pPr>
        <w:spacing w:after="0"/>
        <w:tabs>
          <w:tab w:leader="none" w:pos="7440" w:val="left"/>
        </w:tabs>
        <w:rPr>
          <w:sz w:val="20"/>
          <w:szCs w:val="20"/>
          <w:color w:val="auto"/>
        </w:rPr>
      </w:pPr>
      <w:r>
        <w:rPr>
          <w:rFonts w:ascii="Arial" w:cs="Arial" w:eastAsia="Arial" w:hAnsi="Arial"/>
          <w:sz w:val="18"/>
          <w:szCs w:val="18"/>
          <w:color w:val="auto"/>
        </w:rPr>
        <w:t>The Netherlands</w:t>
      </w:r>
      <w:r>
        <w:rPr>
          <w:sz w:val="20"/>
          <w:szCs w:val="20"/>
          <w:color w:val="auto"/>
        </w:rPr>
        <w:tab/>
      </w:r>
      <w:r>
        <w:rPr>
          <w:rFonts w:ascii="Arial" w:cs="Arial" w:eastAsia="Arial" w:hAnsi="Arial"/>
          <w:sz w:val="16"/>
          <w:szCs w:val="16"/>
          <w:color w:val="auto"/>
        </w:rPr>
        <w:t>N/A</w:t>
      </w:r>
    </w:p>
    <w:p>
      <w:pPr>
        <w:spacing w:after="0" w:line="27" w:lineRule="exact"/>
        <w:rPr>
          <w:sz w:val="24"/>
          <w:szCs w:val="24"/>
          <w:color w:val="auto"/>
        </w:rPr>
      </w:pPr>
    </w:p>
    <w:p>
      <w:pPr>
        <w:spacing w:after="0"/>
        <w:tabs>
          <w:tab w:leader="none" w:pos="74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7"/>
          <w:szCs w:val="17"/>
          <w:color w:val="auto"/>
        </w:rPr>
        <w:t>(Zip code)</w:t>
      </w:r>
    </w:p>
    <w:p>
      <w:pPr>
        <w:spacing w:after="0" w:line="200" w:lineRule="exact"/>
        <w:rPr>
          <w:sz w:val="24"/>
          <w:szCs w:val="24"/>
          <w:color w:val="auto"/>
        </w:rPr>
      </w:pPr>
    </w:p>
    <w:p>
      <w:pPr>
        <w:spacing w:after="0" w:line="237" w:lineRule="exact"/>
        <w:rPr>
          <w:sz w:val="24"/>
          <w:szCs w:val="24"/>
          <w:color w:val="auto"/>
        </w:rPr>
      </w:pPr>
    </w:p>
    <w:p>
      <w:pPr>
        <w:ind w:left="3660"/>
        <w:spacing w:after="0"/>
        <w:tabs>
          <w:tab w:leader="none" w:pos="5660" w:val="left"/>
        </w:tabs>
        <w:rPr>
          <w:sz w:val="20"/>
          <w:szCs w:val="20"/>
          <w:color w:val="auto"/>
        </w:rPr>
      </w:pPr>
      <w:r>
        <w:rPr>
          <w:rFonts w:ascii="Arial" w:cs="Arial" w:eastAsia="Arial" w:hAnsi="Arial"/>
          <w:sz w:val="18"/>
          <w:szCs w:val="18"/>
          <w:color w:val="auto"/>
        </w:rPr>
        <w:t>Steven Rose</w:t>
      </w:r>
      <w:r>
        <w:rPr>
          <w:sz w:val="20"/>
          <w:szCs w:val="20"/>
          <w:color w:val="auto"/>
        </w:rPr>
        <w:tab/>
      </w:r>
      <w:r>
        <w:rPr>
          <w:rFonts w:ascii="Arial" w:cs="Arial" w:eastAsia="Arial" w:hAnsi="Arial"/>
          <w:sz w:val="17"/>
          <w:szCs w:val="17"/>
          <w:color w:val="auto"/>
        </w:rPr>
        <w:t>+41 22 929 29 29</w:t>
      </w:r>
    </w:p>
    <w:p>
      <w:pPr>
        <w:spacing w:after="0" w:line="32"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and telephone number, including area code, of</w:t>
      </w:r>
    </w:p>
    <w:p>
      <w:pPr>
        <w:spacing w:after="0" w:line="2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the person to contact in connection with this report.)</w:t>
      </w:r>
    </w:p>
    <w:p>
      <w:pPr>
        <w:spacing w:after="0" w:line="202" w:lineRule="exact"/>
        <w:rPr>
          <w:sz w:val="24"/>
          <w:szCs w:val="24"/>
          <w:color w:val="auto"/>
        </w:rPr>
      </w:pPr>
    </w:p>
    <w:p>
      <w:pPr>
        <w:ind w:right="240"/>
        <w:spacing w:after="0" w:line="303" w:lineRule="auto"/>
        <w:rPr>
          <w:sz w:val="20"/>
          <w:szCs w:val="20"/>
          <w:color w:val="auto"/>
        </w:rPr>
      </w:pPr>
      <w:r>
        <w:rPr>
          <w:rFonts w:ascii="Arial" w:cs="Arial" w:eastAsia="Arial" w:hAnsi="Arial"/>
          <w:sz w:val="18"/>
          <w:szCs w:val="18"/>
          <w:color w:val="auto"/>
        </w:rPr>
        <w:t>Check the appropriate box to indicate the rule pursuant to which this Form is being submitted, and provide the period to which the information in this Form applies:</w:t>
      </w:r>
    </w:p>
    <w:p>
      <w:pPr>
        <w:spacing w:after="0" w:line="98" w:lineRule="exact"/>
        <w:rPr>
          <w:sz w:val="24"/>
          <w:szCs w:val="24"/>
          <w:color w:val="auto"/>
        </w:rPr>
      </w:pPr>
    </w:p>
    <w:p>
      <w:pPr>
        <w:ind w:left="740" w:right="1380" w:hanging="570"/>
        <w:spacing w:after="0" w:line="287"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2025.</w:t>
      </w:r>
    </w:p>
    <w:p>
      <w:pPr>
        <w:spacing w:after="0" w:line="112" w:lineRule="exact"/>
        <w:rPr>
          <w:sz w:val="24"/>
          <w:szCs w:val="24"/>
          <w:color w:val="auto"/>
        </w:rPr>
      </w:pPr>
    </w:p>
    <w:p>
      <w:pPr>
        <w:ind w:left="740"/>
        <w:spacing w:after="0"/>
        <w:tabs>
          <w:tab w:leader="none" w:pos="8500" w:val="left"/>
        </w:tabs>
        <w:rPr>
          <w:sz w:val="20"/>
          <w:szCs w:val="20"/>
          <w:color w:val="auto"/>
        </w:rPr>
      </w:pPr>
      <w:r>
        <w:rPr>
          <w:rFonts w:ascii="Arial" w:cs="Arial" w:eastAsia="Arial" w:hAnsi="Arial"/>
          <w:sz w:val="18"/>
          <w:szCs w:val="18"/>
          <w:color w:val="auto"/>
        </w:rPr>
        <w:t>Rule 13q-1 under the Securities Exchange Act (17 CFR 240.13q-1) for the fiscal year ended</w:t>
      </w:r>
      <w:r>
        <w:rPr>
          <w:sz w:val="20"/>
          <w:szCs w:val="20"/>
          <w:color w:val="auto"/>
        </w:rPr>
        <w:tab/>
      </w:r>
      <w:r>
        <w:rPr>
          <w:rFonts w:ascii="Arial" w:cs="Arial" w:eastAsia="Arial" w:hAnsi="Arial"/>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98" w:lineRule="exact"/>
        <w:rPr>
          <w:sz w:val="24"/>
          <w:szCs w:val="24"/>
          <w:color w:val="auto"/>
        </w:rPr>
      </w:pPr>
    </w:p>
    <w:p>
      <w:pPr>
        <w:spacing w:after="0" w:line="303" w:lineRule="auto"/>
        <w:rPr>
          <w:sz w:val="20"/>
          <w:szCs w:val="20"/>
          <w:color w:val="auto"/>
        </w:rPr>
      </w:pPr>
      <w:r>
        <w:rPr>
          <w:rFonts w:ascii="Arial" w:cs="Arial" w:eastAsia="Arial" w:hAnsi="Arial"/>
          <w:sz w:val="18"/>
          <w:szCs w:val="18"/>
          <w:color w:val="auto"/>
        </w:rPr>
        <w:t>The Company has filed as an exhibit to this Form SD a Conflict Minerals Report. This Form SD and Conflict Minerals Report are available on our website at the following address: http://investors.st.com.</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3 –Exhibits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 SD.</w:t>
      </w:r>
    </w:p>
    <w:p>
      <w:pPr>
        <w:sectPr>
          <w:pgSz w:w="11900" w:h="16838" w:orient="portrait"/>
          <w:cols w:equalWidth="0" w:num="1">
            <w:col w:w="9740"/>
          </w:cols>
          <w:pgMar w:left="900" w:top="742" w:right="1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002052"/>
        </w:rPr>
        <w:t>1</w:t>
      </w:r>
    </w:p>
    <w:p>
      <w:pPr>
        <w:sectPr>
          <w:pgSz w:w="11900" w:h="16838" w:orient="portrait"/>
          <w:cols w:equalWidth="0" w:num="1">
            <w:col w:w="9740"/>
          </w:cols>
          <w:pgMar w:left="900" w:top="742" w:right="125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-59055</wp:posOffset>
            </wp:positionV>
            <wp:extent cx="7132320" cy="891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917305"/>
                    </a:xfrm>
                    <a:prstGeom prst="rect">
                      <a:avLst/>
                    </a:prstGeom>
                    <a:noFill/>
                  </pic:spPr>
                </pic:pic>
              </a:graphicData>
            </a:graphic>
          </wp:anchor>
        </w:drawing>
      </w:r>
    </w:p>
    <w:p>
      <w:pPr>
        <w:ind w:right="39"/>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STMicroelectronics N.V.</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20"/>
              <w:spacing w:after="0"/>
              <w:rPr>
                <w:sz w:val="20"/>
                <w:szCs w:val="20"/>
                <w:color w:val="auto"/>
              </w:rPr>
            </w:pPr>
            <w:r>
              <w:rPr>
                <w:rFonts w:ascii="Arial" w:cs="Arial" w:eastAsia="Arial" w:hAnsi="Arial"/>
                <w:sz w:val="18"/>
                <w:szCs w:val="18"/>
                <w:color w:val="auto"/>
              </w:rPr>
              <w:t>/s/ Jean-Marc Chery</w:t>
            </w:r>
          </w:p>
        </w:tc>
        <w:tc>
          <w:tcPr>
            <w:tcW w:w="2680" w:type="dxa"/>
            <w:vAlign w:val="bottom"/>
            <w:vMerge w:val="restart"/>
          </w:tcPr>
          <w:p>
            <w:pPr>
              <w:ind w:left="1160"/>
              <w:spacing w:after="0"/>
              <w:rPr>
                <w:sz w:val="20"/>
                <w:szCs w:val="20"/>
                <w:color w:val="auto"/>
              </w:rPr>
            </w:pPr>
            <w:r>
              <w:rPr>
                <w:rFonts w:ascii="Arial" w:cs="Arial" w:eastAsia="Arial" w:hAnsi="Arial"/>
                <w:sz w:val="18"/>
                <w:szCs w:val="18"/>
                <w:color w:val="auto"/>
                <w:w w:val="98"/>
              </w:rPr>
              <w:t>Date: 12 May 2026</w:t>
            </w: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4780" w:type="dxa"/>
            <w:vAlign w:val="bottom"/>
            <w:vMerge w:val="restart"/>
          </w:tcPr>
          <w:p>
            <w:pPr>
              <w:ind w:left="160"/>
              <w:spacing w:after="0"/>
              <w:rPr>
                <w:sz w:val="20"/>
                <w:szCs w:val="20"/>
                <w:color w:val="auto"/>
              </w:rPr>
            </w:pPr>
            <w:r>
              <w:rPr>
                <w:rFonts w:ascii="Arial" w:cs="Arial" w:eastAsia="Arial" w:hAnsi="Arial"/>
                <w:sz w:val="18"/>
                <w:szCs w:val="18"/>
                <w:color w:val="auto"/>
              </w:rPr>
              <w:t>Name: Jean-Marc Chery</w:t>
            </w: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4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Title: President and Chief Executive Officer,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Chairman of the Managing Board</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002052"/>
        </w:rPr>
        <w:t>2</w:t>
      </w:r>
    </w:p>
    <w:p>
      <w:pPr>
        <w:sectPr>
          <w:pgSz w:w="11900" w:h="16838" w:orient="portrait"/>
          <w:cols w:equalWidth="0" w:num="1">
            <w:col w:w="9299"/>
          </w:cols>
          <w:pgMar w:left="1160" w:top="26" w:right="1440" w:bottom="1440" w:gutter="0" w:footer="0" w:header="0"/>
        </w:sectPr>
      </w:pPr>
    </w:p>
    <w:bookmarkStart w:id="2" w:name="page3"/>
    <w:bookmarkEnd w:id="2"/>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Conflict Minerals Report of STMicroelectronics N.V.</w:t>
      </w:r>
    </w:p>
    <w:p>
      <w:pPr>
        <w:spacing w:after="0" w:line="4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accordance with</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13p-1 under the Securities Exchange Act of 1934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 Regulation 2017/821</w:t>
      </w:r>
    </w:p>
    <w:p>
      <w:pPr>
        <w:spacing w:after="0" w:line="200" w:lineRule="exact"/>
        <w:rPr>
          <w:sz w:val="20"/>
          <w:szCs w:val="20"/>
          <w:color w:val="auto"/>
        </w:rPr>
      </w:pPr>
    </w:p>
    <w:p>
      <w:pPr>
        <w:spacing w:after="0" w:line="305" w:lineRule="exact"/>
        <w:rPr>
          <w:sz w:val="20"/>
          <w:szCs w:val="20"/>
          <w:color w:val="auto"/>
        </w:rPr>
      </w:pPr>
    </w:p>
    <w:p>
      <w:pPr>
        <w:ind w:left="440" w:right="479"/>
        <w:spacing w:after="0" w:line="286" w:lineRule="auto"/>
        <w:rPr>
          <w:sz w:val="20"/>
          <w:szCs w:val="20"/>
          <w:color w:val="auto"/>
        </w:rPr>
      </w:pPr>
      <w:r>
        <w:rPr>
          <w:rFonts w:ascii="Arial" w:cs="Arial" w:eastAsia="Arial" w:hAnsi="Arial"/>
          <w:sz w:val="18"/>
          <w:szCs w:val="18"/>
          <w:color w:val="auto"/>
        </w:rPr>
        <w:t>This Conflict Minerals Report (the “Report”) for the year ended December 31, 2025, is presented to comply with Rule 13p-1 under the Securities Exchange Act of 1934 and guidance in relation thereto promulgated by the Securities and Exchange Commission (the “SEC”) (collectively, the “Rule”) and EU Regulation 2017/821 laying down supply chain due diligence obligations for European Union importers of tin, tantalum and tungsten, their ores, and gold originating from conflict-affected and high-risk areas (the “Regulation”).</w:t>
      </w:r>
    </w:p>
    <w:p>
      <w:pPr>
        <w:spacing w:after="0" w:line="208" w:lineRule="exact"/>
        <w:rPr>
          <w:sz w:val="20"/>
          <w:szCs w:val="20"/>
          <w:color w:val="auto"/>
        </w:rPr>
      </w:pPr>
    </w:p>
    <w:p>
      <w:pPr>
        <w:ind w:left="440" w:right="619"/>
        <w:spacing w:after="0" w:line="283" w:lineRule="auto"/>
        <w:rPr>
          <w:sz w:val="20"/>
          <w:szCs w:val="20"/>
          <w:color w:val="auto"/>
        </w:rPr>
      </w:pPr>
      <w:r>
        <w:rPr>
          <w:rFonts w:ascii="Arial" w:cs="Arial" w:eastAsia="Arial" w:hAnsi="Arial"/>
          <w:sz w:val="18"/>
          <w:szCs w:val="18"/>
          <w:color w:val="auto"/>
        </w:rPr>
        <w:t>In this Report, references to “ST”, “we”, “us” and “Company” are to STMicroelectronics N.V. together with its consolidated subsidiaries, which includes its manufacturing facilities in and outside the European Union. Furthermore, the SEC defines “conflict minerals” as columbite-tantalite (coltan), cassiterite, gold, wolframite, or their derivatives, which are limited to tantalum, tin, and tungsten. The Regulation is applicable to European Union importers of certain minerals or metals, whereby (i) the minerals refer to ores and concentrates containing tin, tantalum, tungsten or gold and (ii) the metals refer to metals containing or consisting of tin, tantalum, tungsten or gold, specifically where these minerals or metals potentially originate from, or are linked to, conflict-affected and high-risk areas (“CAHRAs”) as defined by the Organisation for Economic Co-Operation and Development (the "OECD") Due Diligence Guidance for Responsible Supply Chains of Minerals from Conflict-Affected and High-Risk Areas (the "OECD Guidance").</w:t>
      </w:r>
    </w:p>
    <w:p>
      <w:pPr>
        <w:spacing w:after="0" w:line="204" w:lineRule="exact"/>
        <w:rPr>
          <w:sz w:val="20"/>
          <w:szCs w:val="20"/>
          <w:color w:val="auto"/>
        </w:rPr>
      </w:pPr>
    </w:p>
    <w:p>
      <w:pPr>
        <w:ind w:left="440" w:right="719"/>
        <w:spacing w:after="0" w:line="288" w:lineRule="auto"/>
        <w:rPr>
          <w:sz w:val="20"/>
          <w:szCs w:val="20"/>
          <w:color w:val="auto"/>
        </w:rPr>
      </w:pPr>
      <w:r>
        <w:rPr>
          <w:rFonts w:ascii="Arial" w:cs="Arial" w:eastAsia="Arial" w:hAnsi="Arial"/>
          <w:sz w:val="18"/>
          <w:szCs w:val="18"/>
          <w:color w:val="auto"/>
        </w:rPr>
        <w:t>The term “conflict minerals” throughout this Report refers to the minerals and metals as covered by the Rule and the Regulation, regardless of such metals’ and minerals’ country of origin or whether they are financing or benefiting armed conflict or contributing to violations of international law, including human rights abuses. Further definitions are included in Annex I hereto.</w:t>
      </w:r>
    </w:p>
    <w:p>
      <w:pPr>
        <w:spacing w:after="0" w:line="208" w:lineRule="exact"/>
        <w:rPr>
          <w:sz w:val="20"/>
          <w:szCs w:val="20"/>
          <w:color w:val="auto"/>
        </w:rPr>
      </w:pPr>
    </w:p>
    <w:p>
      <w:pPr>
        <w:ind w:left="440" w:right="739"/>
        <w:spacing w:after="0" w:line="318" w:lineRule="auto"/>
        <w:rPr>
          <w:sz w:val="20"/>
          <w:szCs w:val="20"/>
          <w:color w:val="auto"/>
        </w:rPr>
      </w:pPr>
      <w:r>
        <w:rPr>
          <w:rFonts w:ascii="Arial" w:cs="Arial" w:eastAsia="Arial" w:hAnsi="Arial"/>
          <w:sz w:val="18"/>
          <w:szCs w:val="18"/>
          <w:color w:val="auto"/>
        </w:rPr>
        <w:t>The content of any website referenced in this Report is included for general information only and is not incorporated by reference in this Report.</w:t>
      </w:r>
    </w:p>
    <w:p>
      <w:pPr>
        <w:spacing w:after="0" w:line="167" w:lineRule="exact"/>
        <w:rPr>
          <w:sz w:val="20"/>
          <w:szCs w:val="20"/>
          <w:color w:val="auto"/>
        </w:rPr>
      </w:pPr>
    </w:p>
    <w:p>
      <w:pPr>
        <w:ind w:left="440" w:right="1159"/>
        <w:spacing w:after="0" w:line="287" w:lineRule="auto"/>
        <w:rPr>
          <w:sz w:val="20"/>
          <w:szCs w:val="20"/>
          <w:color w:val="auto"/>
        </w:rPr>
      </w:pPr>
      <w:r>
        <w:rPr>
          <w:rFonts w:ascii="Arial" w:cs="Arial" w:eastAsia="Arial" w:hAnsi="Arial"/>
          <w:sz w:val="18"/>
          <w:szCs w:val="18"/>
          <w:color w:val="auto"/>
        </w:rPr>
        <w:t>In accordance with the Rule and the Regulation, this Report is available on our website at the following address: https://investors.st.com/financial-information/sec-filings.</w:t>
      </w:r>
    </w:p>
    <w:p>
      <w:pPr>
        <w:spacing w:after="0" w:line="180" w:lineRule="exact"/>
        <w:rPr>
          <w:sz w:val="20"/>
          <w:szCs w:val="20"/>
          <w:color w:val="auto"/>
        </w:rPr>
      </w:pPr>
    </w:p>
    <w:p>
      <w:pPr>
        <w:jc w:val="both"/>
        <w:ind w:left="440" w:right="6579"/>
        <w:spacing w:after="0" w:line="540" w:lineRule="auto"/>
        <w:tabs>
          <w:tab w:leader="none" w:pos="7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 Business and products</w:t>
      </w:r>
    </w:p>
    <w:p>
      <w:pPr>
        <w:ind w:left="440" w:right="599"/>
        <w:spacing w:after="0" w:line="288" w:lineRule="auto"/>
        <w:rPr>
          <w:sz w:val="20"/>
          <w:szCs w:val="20"/>
          <w:color w:val="auto"/>
        </w:rPr>
      </w:pPr>
      <w:r>
        <w:rPr>
          <w:rFonts w:ascii="Arial" w:cs="Arial" w:eastAsia="Arial" w:hAnsi="Arial"/>
          <w:sz w:val="18"/>
          <w:szCs w:val="18"/>
          <w:color w:val="auto"/>
        </w:rPr>
        <w:t>We are a global semiconductor company that designs, develops, manufactures and markets a broad range of products used in a wide variety of applications for the four end-markets we address: automotive, industrial, personal electronics and communications equipment, computers and peripherals.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highlight w:val="white"/>
        </w:rPr>
        <w:t>As of December 31, 2025, our reportable segments within each product group were</w:t>
      </w:r>
      <w:r>
        <w:rPr>
          <w:rFonts w:ascii="Arial" w:cs="Arial" w:eastAsia="Arial" w:hAnsi="Arial"/>
          <w:sz w:val="23"/>
          <w:szCs w:val="23"/>
          <w:color w:val="auto"/>
          <w:vertAlign w:val="superscript"/>
        </w:rPr>
        <w:t>1</w:t>
      </w:r>
      <w:r>
        <w:rPr>
          <w:rFonts w:ascii="Arial" w:cs="Arial" w:eastAsia="Arial" w:hAnsi="Arial"/>
          <w:sz w:val="18"/>
          <w:szCs w:val="18"/>
          <w:color w:val="auto"/>
          <w:highlight w:val="white"/>
        </w:rPr>
        <w:t xml:space="preserve"> </w:t>
      </w:r>
      <w:r>
        <w:rPr>
          <w:rFonts w:ascii="Arial" w:cs="Arial" w:eastAsia="Arial" w:hAnsi="Arial"/>
          <w:sz w:val="18"/>
          <w:szCs w:val="18"/>
          <w:color w:val="auto"/>
        </w:rPr>
        <w:t>as follows:</w:t>
      </w: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highlight w:val="white"/>
        </w:rPr>
        <w:t>In our Analog, Power &amp; Discrete, MEMS and Sensors ("APMS") product group:</w:t>
      </w:r>
    </w:p>
    <w:p>
      <w:pPr>
        <w:spacing w:after="0" w:line="338" w:lineRule="exact"/>
        <w:rPr>
          <w:sz w:val="20"/>
          <w:szCs w:val="20"/>
          <w:color w:val="auto"/>
        </w:rPr>
      </w:pPr>
    </w:p>
    <w:p>
      <w:pPr>
        <w:ind w:left="440" w:right="579"/>
        <w:spacing w:after="0" w:line="236" w:lineRule="auto"/>
        <w:tabs>
          <w:tab w:leader="none" w:pos="604"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We derive less than 0.1% of our total annual revenue from sales of promotional evaluation and development boards assembled by third party subcontractors, which represent prototypical system-level applications that include our integrated circuit products as well as components originating from third parties. These boards are useful to demonstrate the features and functionality of our semiconductor products and assist our customers in transitioning from initial prototype designs to final production releases. References herein to our “products” are to our integrated circuit products (excluding such boards) representing more than 99.9% of our total annual revenue.</w:t>
      </w:r>
    </w:p>
    <w:p>
      <w:pPr>
        <w:sectPr>
          <w:pgSz w:w="11900" w:h="16838" w:orient="portrait"/>
          <w:cols w:equalWidth="0" w:num="1">
            <w:col w:w="9019"/>
          </w:cols>
          <w:pgMar w:left="1440" w:top="1390"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1</w:t>
      </w:r>
    </w:p>
    <w:p>
      <w:pPr>
        <w:sectPr>
          <w:pgSz w:w="11900" w:h="16838" w:orient="portrait"/>
          <w:cols w:equalWidth="0" w:num="1">
            <w:col w:w="9019"/>
          </w:cols>
          <w:pgMar w:left="1440" w:top="1390" w:right="1440" w:bottom="1440" w:gutter="0" w:footer="0" w:header="0"/>
          <w:type w:val="continuous"/>
        </w:sectPr>
      </w:pPr>
    </w:p>
    <w:bookmarkStart w:id="3" w:name="page4"/>
    <w:bookmarkEnd w:id="3"/>
    <w:p>
      <w:pPr>
        <w:ind w:left="1420" w:right="759" w:hanging="332"/>
        <w:spacing w:after="0" w:line="278"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highlight w:val="white"/>
        </w:rPr>
        <w:t>Analog Products, MEMS and Sensors ("AM&amp;S") reportable segment, comprised of ST analog products, MEMS sensors and actuators, and optical sensing solutions.</w:t>
      </w:r>
    </w:p>
    <w:p>
      <w:pPr>
        <w:spacing w:after="0" w:line="1" w:lineRule="exact"/>
        <w:rPr>
          <w:rFonts w:ascii="Arial" w:cs="Arial" w:eastAsia="Arial" w:hAnsi="Arial"/>
          <w:sz w:val="18"/>
          <w:szCs w:val="18"/>
          <w:color w:val="auto"/>
        </w:rPr>
      </w:pPr>
    </w:p>
    <w:p>
      <w:pPr>
        <w:ind w:left="1420" w:right="859" w:hanging="332"/>
        <w:spacing w:after="0" w:line="30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highlight w:val="white"/>
        </w:rPr>
        <w:t>Power and Discrete products ("P&amp;D") reportable segment, comprised of discrete and power transistor products.</w:t>
      </w:r>
    </w:p>
    <w:p>
      <w:pPr>
        <w:spacing w:after="0" w:line="190" w:lineRule="exact"/>
        <w:rPr>
          <w:rFonts w:ascii="Arial" w:cs="Arial" w:eastAsia="Arial" w:hAnsi="Arial"/>
          <w:sz w:val="18"/>
          <w:szCs w:val="18"/>
          <w:color w:val="auto"/>
        </w:rPr>
      </w:pPr>
    </w:p>
    <w:p>
      <w:pPr>
        <w:ind w:left="1080" w:hanging="31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highlight w:val="white"/>
        </w:rPr>
        <w:t>In our Microcontrollers, Digital ICs and RF products ("MDRF") product group:</w:t>
      </w:r>
    </w:p>
    <w:p>
      <w:pPr>
        <w:spacing w:after="0" w:line="31" w:lineRule="exact"/>
        <w:rPr>
          <w:rFonts w:ascii="Arial" w:cs="Arial" w:eastAsia="Arial" w:hAnsi="Arial"/>
          <w:sz w:val="18"/>
          <w:szCs w:val="18"/>
          <w:color w:val="auto"/>
        </w:rPr>
      </w:pPr>
    </w:p>
    <w:p>
      <w:pPr>
        <w:ind w:left="1420" w:right="659" w:hanging="332"/>
        <w:spacing w:after="0" w:line="278"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highlight w:val="white"/>
        </w:rPr>
        <w:t>Embedded Processing ("EMP") reportable segment, comprised of general-purpose and automotive microcontrollers, connected security products and custom processing products (automotive ADAS).</w:t>
      </w:r>
    </w:p>
    <w:p>
      <w:pPr>
        <w:ind w:left="1420" w:right="599" w:hanging="332"/>
        <w:spacing w:after="0" w:line="335" w:lineRule="auto"/>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highlight w:val="white"/>
        </w:rPr>
        <w:t>RF Optical Communications ("RFOC") reportable segment, comprised of space, ranging &amp; connectivity products, digital audio &amp; signaling solutions and optical &amp; RF COT.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-1705610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0" w:lineRule="exact"/>
        <w:rPr>
          <w:sz w:val="20"/>
          <w:szCs w:val="20"/>
          <w:color w:val="auto"/>
        </w:rPr>
      </w:pPr>
    </w:p>
    <w:p>
      <w:pPr>
        <w:ind w:left="440" w:right="839"/>
        <w:spacing w:after="0" w:line="288" w:lineRule="auto"/>
        <w:rPr>
          <w:sz w:val="20"/>
          <w:szCs w:val="20"/>
          <w:color w:val="auto"/>
        </w:rPr>
      </w:pPr>
      <w:r>
        <w:rPr>
          <w:rFonts w:ascii="Arial" w:cs="Arial" w:eastAsia="Arial" w:hAnsi="Arial"/>
          <w:sz w:val="18"/>
          <w:szCs w:val="18"/>
          <w:color w:val="auto"/>
          <w:highlight w:val="white"/>
        </w:rPr>
        <w:t>More detailed descriptions of our product categories and the products relating to each category is contained in our Annual Report on Form 20-F and Dutch Annual Report in relation to the 2025 calendar year which was filed with the SEC on February 26, 2026, and the AFM (Dutch Financial Market Authority) on March 26, 2026, respectively.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Manufacturing processes</w:t>
      </w:r>
    </w:p>
    <w:p>
      <w:pPr>
        <w:spacing w:after="0" w:line="279" w:lineRule="exact"/>
        <w:rPr>
          <w:sz w:val="20"/>
          <w:szCs w:val="20"/>
          <w:color w:val="auto"/>
        </w:rPr>
      </w:pPr>
    </w:p>
    <w:p>
      <w:pPr>
        <w:ind w:left="440" w:right="479"/>
        <w:spacing w:after="0" w:line="286" w:lineRule="auto"/>
        <w:rPr>
          <w:sz w:val="20"/>
          <w:szCs w:val="20"/>
          <w:color w:val="auto"/>
        </w:rPr>
      </w:pPr>
      <w:r>
        <w:rPr>
          <w:rFonts w:ascii="Arial" w:cs="Arial" w:eastAsia="Arial" w:hAnsi="Arial"/>
          <w:sz w:val="18"/>
          <w:szCs w:val="18"/>
          <w:color w:val="auto"/>
        </w:rPr>
        <w:t>The manufacture of semiconductor products requires, among other things, the mastery of the properties of conductivity, isolation and/or amplification. The manufacturing of an integrated circuit can be divided into two phases. The first, wafer fabrication, is the extremely sophisticated and intricate process of manufacturing the silicon chip. The second, assembly, is the highly precise and automated process of packaging the silicon chip. Those two phases are commonly known respectively as “Front-End” and “Back-End”.</w:t>
      </w:r>
    </w:p>
    <w:p>
      <w:pPr>
        <w:spacing w:after="0" w:line="194" w:lineRule="exact"/>
        <w:rPr>
          <w:sz w:val="20"/>
          <w:szCs w:val="20"/>
          <w:color w:val="auto"/>
        </w:rPr>
      </w:pPr>
    </w:p>
    <w:p>
      <w:pPr>
        <w:ind w:left="440" w:right="659"/>
        <w:spacing w:after="0" w:line="288" w:lineRule="auto"/>
        <w:rPr>
          <w:sz w:val="20"/>
          <w:szCs w:val="20"/>
          <w:color w:val="auto"/>
        </w:rPr>
      </w:pPr>
      <w:r>
        <w:rPr>
          <w:rFonts w:ascii="Arial" w:cs="Arial" w:eastAsia="Arial" w:hAnsi="Arial"/>
          <w:sz w:val="18"/>
          <w:szCs w:val="18"/>
          <w:color w:val="auto"/>
        </w:rPr>
        <w:t>The manufacturing process of semiconductor products requires various materials, gases, and chemicals. We have identified tin, tantalum, tungsten, and gold (collectively, “3TG”) as being among the materials necessary to the functionality or production of certain of our products manufactured during the 2025 calendar year.</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Supply chain</w:t>
      </w:r>
    </w:p>
    <w:p>
      <w:pPr>
        <w:spacing w:after="0" w:line="266" w:lineRule="exact"/>
        <w:rPr>
          <w:sz w:val="20"/>
          <w:szCs w:val="20"/>
          <w:color w:val="auto"/>
        </w:rPr>
      </w:pPr>
    </w:p>
    <w:p>
      <w:pPr>
        <w:ind w:left="440" w:right="579"/>
        <w:spacing w:after="0" w:line="288" w:lineRule="auto"/>
        <w:rPr>
          <w:sz w:val="20"/>
          <w:szCs w:val="20"/>
          <w:color w:val="auto"/>
        </w:rPr>
      </w:pPr>
      <w:r>
        <w:rPr>
          <w:rFonts w:ascii="Arial" w:cs="Arial" w:eastAsia="Arial" w:hAnsi="Arial"/>
          <w:sz w:val="18"/>
          <w:szCs w:val="18"/>
          <w:color w:val="auto"/>
        </w:rPr>
        <w:t>We are not engaged in the mining and trade of minerals, nor in any refining or smelting activities. We purchase materials, commodities, chemicals, and gases which potentially contain minerals and/or metals covered in the Rule and the Regulation as part of their composition. In general, we do not conduct business directly with smelters and refiners.</w:t>
      </w:r>
    </w:p>
    <w:p>
      <w:pPr>
        <w:spacing w:after="0" w:line="208" w:lineRule="exact"/>
        <w:rPr>
          <w:sz w:val="20"/>
          <w:szCs w:val="20"/>
          <w:color w:val="auto"/>
        </w:rPr>
      </w:pPr>
    </w:p>
    <w:p>
      <w:pPr>
        <w:ind w:left="440" w:right="439"/>
        <w:spacing w:after="0" w:line="288" w:lineRule="auto"/>
        <w:rPr>
          <w:sz w:val="20"/>
          <w:szCs w:val="20"/>
          <w:color w:val="auto"/>
        </w:rPr>
      </w:pPr>
      <w:r>
        <w:rPr>
          <w:rFonts w:ascii="Arial" w:cs="Arial" w:eastAsia="Arial" w:hAnsi="Arial"/>
          <w:sz w:val="18"/>
          <w:szCs w:val="18"/>
          <w:color w:val="auto"/>
        </w:rPr>
        <w:t>Because of our large size, the complexity of our products, and the depth, breadth, and constant evolution of our global supply chain, it is difficult and resource-intensive to identify actors upstream from our direct suppliers. Accordingly, we participate in several industry-wide initiatives as described in Section 2 below.</w:t>
      </w:r>
    </w:p>
    <w:p>
      <w:pPr>
        <w:spacing w:after="0" w:line="208" w:lineRule="exact"/>
        <w:rPr>
          <w:sz w:val="20"/>
          <w:szCs w:val="20"/>
          <w:color w:val="auto"/>
        </w:rPr>
      </w:pPr>
    </w:p>
    <w:p>
      <w:pPr>
        <w:ind w:left="960" w:hanging="520"/>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Process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Establish strong company management systems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Conflict minerals policy</w:t>
      </w:r>
    </w:p>
    <w:p>
      <w:pPr>
        <w:spacing w:after="0" w:line="279" w:lineRule="exact"/>
        <w:rPr>
          <w:sz w:val="20"/>
          <w:szCs w:val="20"/>
          <w:color w:val="auto"/>
        </w:rPr>
      </w:pPr>
    </w:p>
    <w:p>
      <w:pPr>
        <w:ind w:left="440" w:right="459"/>
        <w:spacing w:after="0" w:line="316" w:lineRule="auto"/>
        <w:rPr>
          <w:sz w:val="20"/>
          <w:szCs w:val="20"/>
          <w:color w:val="auto"/>
        </w:rPr>
      </w:pPr>
      <w:r>
        <w:rPr>
          <w:rFonts w:ascii="Arial" w:cs="Arial" w:eastAsia="Arial" w:hAnsi="Arial"/>
          <w:sz w:val="17"/>
          <w:szCs w:val="17"/>
          <w:color w:val="auto"/>
        </w:rPr>
        <w:t>ST began to address the conflict minerals issue as early as 2007 by requiring our tantalum suppliers to confirm they were not sourcing metals from conflict areas. We are a member of the Responsible Business Alliance (the “RBA”), commit to the RBA’s Code of Conduct and integrate its principles in our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2</w:t>
      </w:r>
    </w:p>
    <w:p>
      <w:pPr>
        <w:sectPr>
          <w:pgSz w:w="11900" w:h="16838" w:orient="portrait"/>
          <w:cols w:equalWidth="0" w:num="1">
            <w:col w:w="9019"/>
          </w:cols>
          <w:pgMar w:left="1440"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right="699"/>
        <w:spacing w:after="0" w:line="288" w:lineRule="auto"/>
        <w:rPr>
          <w:sz w:val="20"/>
          <w:szCs w:val="20"/>
          <w:color w:val="auto"/>
        </w:rPr>
      </w:pPr>
      <w:r>
        <w:rPr>
          <w:rFonts w:ascii="Arial" w:cs="Arial" w:eastAsia="Arial" w:hAnsi="Arial"/>
          <w:sz w:val="18"/>
          <w:szCs w:val="18"/>
          <w:color w:val="auto"/>
        </w:rPr>
        <w:t>internal policies and participate in the Responsible Minerals Initiative (the “RMI”). We require all our suppliers and subcontractors to provide evidence that they are not sourcing 3TG through any channels that fund armed groups or security forces or contribute to widespread and systematic violations of international law, including human rights abuses.</w:t>
      </w:r>
    </w:p>
    <w:p>
      <w:pPr>
        <w:sectPr>
          <w:pgSz w:w="11900" w:h="16838" w:orient="portrait"/>
          <w:cols w:equalWidth="0" w:num="1">
            <w:col w:w="9019"/>
          </w:cols>
          <w:pgMar w:left="1440" w:top="122" w:right="1440" w:bottom="0" w:gutter="0" w:footer="0" w:header="0"/>
          <w:type w:val="continuous"/>
        </w:sectPr>
      </w:pPr>
    </w:p>
    <w:bookmarkStart w:id="4" w:name="page5"/>
    <w:bookmarkEnd w:id="4"/>
    <w:p>
      <w:pPr>
        <w:ind w:left="440" w:right="459"/>
        <w:spacing w:after="0" w:line="273" w:lineRule="auto"/>
        <w:rPr>
          <w:sz w:val="20"/>
          <w:szCs w:val="20"/>
          <w:color w:val="auto"/>
        </w:rPr>
      </w:pPr>
      <w:r>
        <w:rPr>
          <w:rFonts w:ascii="Arial" w:cs="Arial" w:eastAsia="Arial" w:hAnsi="Arial"/>
          <w:sz w:val="18"/>
          <w:szCs w:val="18"/>
          <w:color w:val="auto"/>
        </w:rPr>
        <w:t>Our Policy Statement on Conflict Minerals and Responsible Minerals Sourcing (our “Policy Statement”) is regularly provided to our suppliers and is available at https://www.st.com/content/dam/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40" w:right="939"/>
        <w:spacing w:after="0" w:line="279" w:lineRule="auto"/>
        <w:rPr>
          <w:sz w:val="20"/>
          <w:szCs w:val="20"/>
          <w:color w:val="auto"/>
        </w:rPr>
      </w:pPr>
      <w:r>
        <w:rPr>
          <w:rFonts w:ascii="Arial" w:cs="Arial" w:eastAsia="Arial" w:hAnsi="Arial"/>
          <w:sz w:val="18"/>
          <w:szCs w:val="18"/>
          <w:color w:val="auto"/>
        </w:rPr>
        <w:t>aboutus/sustainability/long-term-value/responsible-minerals/pdf/st-policy-statement-responsible-minerals-en.pdf</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70" w:lineRule="exact"/>
        <w:rPr>
          <w:sz w:val="20"/>
          <w:szCs w:val="20"/>
          <w:color w:val="auto"/>
        </w:rPr>
      </w:pPr>
    </w:p>
    <w:p>
      <w:pPr>
        <w:ind w:left="440" w:right="1779"/>
        <w:spacing w:after="0" w:line="318" w:lineRule="auto"/>
        <w:rPr>
          <w:sz w:val="20"/>
          <w:szCs w:val="20"/>
          <w:color w:val="auto"/>
        </w:rPr>
      </w:pPr>
      <w:r>
        <w:rPr>
          <w:rFonts w:ascii="Arial" w:cs="Arial" w:eastAsia="Arial" w:hAnsi="Arial"/>
          <w:sz w:val="18"/>
          <w:szCs w:val="18"/>
          <w:color w:val="auto"/>
        </w:rPr>
        <w:t>Our “Conflict Mineral Report” is issued annually and published on our website: https:// investors.st.com/financial-information/sec-filings.</w:t>
      </w:r>
    </w:p>
    <w:p>
      <w:pPr>
        <w:spacing w:after="0" w:line="167" w:lineRule="exact"/>
        <w:rPr>
          <w:sz w:val="20"/>
          <w:szCs w:val="20"/>
          <w:color w:val="auto"/>
        </w:rPr>
      </w:pPr>
    </w:p>
    <w:p>
      <w:pPr>
        <w:ind w:left="440" w:right="579"/>
        <w:spacing w:after="0" w:line="323" w:lineRule="auto"/>
        <w:rPr>
          <w:sz w:val="20"/>
          <w:szCs w:val="20"/>
          <w:color w:val="auto"/>
        </w:rPr>
      </w:pPr>
      <w:r>
        <w:rPr>
          <w:rFonts w:ascii="Arial" w:cs="Arial" w:eastAsia="Arial" w:hAnsi="Arial"/>
          <w:sz w:val="18"/>
          <w:szCs w:val="18"/>
          <w:color w:val="auto"/>
        </w:rPr>
        <w:t>Furthermore, the relevant Conflict Minerals Reporting Template (the “CMRT”) is provided on demand upon request of our customers through our online support portal https://ols.st.com/s/</w:t>
      </w:r>
      <w:r>
        <w:rPr>
          <w:rFonts w:ascii="Arial" w:cs="Arial" w:eastAsia="Arial" w:hAnsi="Arial"/>
          <w:sz w:val="19"/>
          <w:szCs w:val="19"/>
          <w:color w:val="auto"/>
        </w:rPr>
        <w:t>.</w:t>
      </w:r>
    </w:p>
    <w:p>
      <w:pPr>
        <w:spacing w:after="0" w:line="170" w:lineRule="exact"/>
        <w:rPr>
          <w:sz w:val="20"/>
          <w:szCs w:val="20"/>
          <w:color w:val="auto"/>
        </w:rPr>
      </w:pPr>
    </w:p>
    <w:p>
      <w:pPr>
        <w:ind w:left="440" w:right="2219"/>
        <w:spacing w:after="0" w:line="351" w:lineRule="auto"/>
        <w:rPr>
          <w:sz w:val="20"/>
          <w:szCs w:val="20"/>
          <w:color w:val="auto"/>
        </w:rPr>
      </w:pPr>
      <w:r>
        <w:rPr>
          <w:rFonts w:ascii="Arial" w:cs="Arial" w:eastAsia="Arial" w:hAnsi="Arial"/>
          <w:sz w:val="17"/>
          <w:szCs w:val="17"/>
          <w:color w:val="auto"/>
        </w:rPr>
        <w:t>The respective websites of the RBA and the RMI are accessible at http:// www.responsiblebusiness.org/ and http://www.responsiblemineralsinitiative.org/.</w:t>
      </w:r>
    </w:p>
    <w:p>
      <w:pPr>
        <w:spacing w:after="0" w:line="144" w:lineRule="exact"/>
        <w:rPr>
          <w:sz w:val="20"/>
          <w:szCs w:val="20"/>
          <w:color w:val="auto"/>
        </w:rPr>
      </w:pPr>
    </w:p>
    <w:p>
      <w:pPr>
        <w:ind w:left="440" w:right="819"/>
        <w:spacing w:after="0" w:line="324" w:lineRule="auto"/>
        <w:rPr>
          <w:sz w:val="20"/>
          <w:szCs w:val="20"/>
          <w:color w:val="auto"/>
        </w:rPr>
      </w:pPr>
      <w:r>
        <w:rPr>
          <w:rFonts w:ascii="Arial" w:cs="Arial" w:eastAsia="Arial" w:hAnsi="Arial"/>
          <w:sz w:val="17"/>
          <w:szCs w:val="17"/>
          <w:color w:val="auto"/>
          <w:highlight w:val="white"/>
        </w:rPr>
        <w:t xml:space="preserve">Any grievance related to conflict minerals linked to ST can be reported through our Ethics Hotline. Operated by an independent third-party provider, it is reachable 24/7 online or by phone (with a multilingual offering): </w:t>
      </w:r>
      <w:r>
        <w:rPr>
          <w:rFonts w:ascii="Arial" w:cs="Arial" w:eastAsia="Arial" w:hAnsi="Arial"/>
          <w:sz w:val="17"/>
          <w:szCs w:val="17"/>
          <w:color w:val="auto"/>
        </w:rPr>
        <w:t>https://secure.ethicspoint.eu/domain/media/en/gui/104021/index.html</w:t>
      </w:r>
      <w:r>
        <w:rPr>
          <w:rFonts w:ascii="Arial" w:cs="Arial" w:eastAsia="Arial" w:hAnsi="Arial"/>
          <w:sz w:val="17"/>
          <w:szCs w:val="17"/>
          <w:u w:val="single" w:color="auto"/>
          <w:color w:val="auto"/>
        </w:rPr>
        <w:t>.</w:t>
      </w:r>
    </w:p>
    <w:p>
      <w:pPr>
        <w:spacing w:after="0" w:line="167" w:lineRule="exact"/>
        <w:rPr>
          <w:sz w:val="20"/>
          <w:szCs w:val="20"/>
          <w:color w:val="auto"/>
        </w:rPr>
      </w:pPr>
    </w:p>
    <w:p>
      <w:pPr>
        <w:ind w:left="440" w:right="879"/>
        <w:spacing w:after="0" w:line="318" w:lineRule="auto"/>
        <w:rPr>
          <w:sz w:val="20"/>
          <w:szCs w:val="20"/>
          <w:color w:val="auto"/>
        </w:rPr>
      </w:pPr>
      <w:r>
        <w:rPr>
          <w:rFonts w:ascii="Arial" w:cs="Arial" w:eastAsia="Arial" w:hAnsi="Arial"/>
          <w:sz w:val="18"/>
          <w:szCs w:val="18"/>
          <w:color w:val="auto"/>
          <w:highlight w:val="white"/>
        </w:rPr>
        <w:t>Furthermore, generic grievances can be reported through the RMI grievance mechanism: https:// www.responsiblemineralsinitiative.org/rmap/grievance-mechanism/.</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Design of due diligence</w:t>
      </w:r>
    </w:p>
    <w:p>
      <w:pPr>
        <w:spacing w:after="0" w:line="279" w:lineRule="exact"/>
        <w:rPr>
          <w:sz w:val="20"/>
          <w:szCs w:val="20"/>
          <w:color w:val="auto"/>
        </w:rPr>
      </w:pPr>
    </w:p>
    <w:p>
      <w:pPr>
        <w:ind w:left="440" w:right="479"/>
        <w:spacing w:after="0" w:line="288" w:lineRule="auto"/>
        <w:rPr>
          <w:sz w:val="20"/>
          <w:szCs w:val="20"/>
          <w:color w:val="auto"/>
        </w:rPr>
      </w:pPr>
      <w:r>
        <w:rPr>
          <w:rFonts w:ascii="Arial" w:cs="Arial" w:eastAsia="Arial" w:hAnsi="Arial"/>
          <w:sz w:val="18"/>
          <w:szCs w:val="18"/>
          <w:color w:val="auto"/>
        </w:rPr>
        <w:t>Our due diligence measures have been designed to conform, in all material respects, to the framework in the OECD Guidance and the related supplements for tin, tantalum, tungsten and gold, as well as related RBA recommendations. The OECD is an international organization that is endorsed by the United Nations and currently offers the only recognized framework available for such use.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Management system</w:t>
      </w:r>
    </w:p>
    <w:p>
      <w:pPr>
        <w:spacing w:after="0" w:line="279" w:lineRule="exact"/>
        <w:rPr>
          <w:sz w:val="20"/>
          <w:szCs w:val="20"/>
          <w:color w:val="auto"/>
        </w:rPr>
      </w:pPr>
    </w:p>
    <w:p>
      <w:pPr>
        <w:ind w:left="440" w:right="539"/>
        <w:spacing w:after="0" w:line="287" w:lineRule="auto"/>
        <w:rPr>
          <w:sz w:val="20"/>
          <w:szCs w:val="20"/>
          <w:color w:val="auto"/>
        </w:rPr>
      </w:pPr>
      <w:r>
        <w:rPr>
          <w:rFonts w:ascii="Arial" w:cs="Arial" w:eastAsia="Arial" w:hAnsi="Arial"/>
          <w:sz w:val="18"/>
          <w:szCs w:val="18"/>
          <w:color w:val="auto"/>
        </w:rPr>
        <w:t>In addition to implementing our Policy Statement as outlined above, evidencing our senior management’s commitment to our conflict minerals program, we have implemented our conflict minerals management system in alignment with the OECD Guidance. We have established roles and duties within the Company’s relevant internal organizations involved in the program. The roles and duties established for several key internal organizations are outlined below.</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Corporate Quality and Social Responsibility</w:t>
      </w:r>
      <w:r>
        <w:rPr>
          <w:rFonts w:ascii="Arial" w:cs="Arial" w:eastAsia="Arial" w:hAnsi="Arial"/>
          <w:sz w:val="18"/>
          <w:szCs w:val="18"/>
          <w:color w:val="auto"/>
        </w:rPr>
        <w:t xml:space="preserve"> organizations are responsible for the following:</w:t>
      </w:r>
    </w:p>
    <w:p>
      <w:pPr>
        <w:spacing w:after="0" w:line="36" w:lineRule="exact"/>
        <w:rPr>
          <w:sz w:val="20"/>
          <w:szCs w:val="20"/>
          <w:color w:val="auto"/>
        </w:rPr>
      </w:pPr>
    </w:p>
    <w:p>
      <w:pPr>
        <w:ind w:left="760" w:right="979" w:hanging="320"/>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proactively working with our customers to define the scope and form of our conflict minerals disclosures;</w:t>
      </w:r>
    </w:p>
    <w:p>
      <w:pPr>
        <w:ind w:left="760" w:right="579" w:hanging="320"/>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defining the strategy and annual objectives related to the implementation of the conflict minerals program within the Company and the coordination thereof with the appropriate internal organizations responsible for sourcing and purchasing materials and subcontracted services and products (including our Global Procurement Organization);</w:t>
      </w:r>
    </w:p>
    <w:p>
      <w:pPr>
        <w:ind w:left="760" w:right="919" w:hanging="320"/>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appropriate internal and external communication content on these programs through the relevant and necessary media and in accordance with our internal processes, including, without limitation, our Policy Statement available on our website; and</w:t>
      </w:r>
    </w:p>
    <w:p>
      <w:pPr>
        <w:ind w:left="760" w:hanging="320"/>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updating our conflict minerals management procedures on a regular basis.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002052"/>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 w:right="479"/>
        <w:spacing w:after="0" w:line="28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Global Procurement Organization</w:t>
      </w:r>
      <w:r>
        <w:rPr>
          <w:rFonts w:ascii="Arial" w:cs="Arial" w:eastAsia="Arial" w:hAnsi="Arial"/>
          <w:sz w:val="18"/>
          <w:szCs w:val="18"/>
          <w:color w:val="auto"/>
        </w:rPr>
        <w:t xml:space="preserve"> helps to implement our conflict minerals program by supporting the communication of Company requirements to our suppliers and monitoring our suppliers’ engagement and progress in relation to our conflict minerals program. As part of the engagement with our suppliers they commit to respond to our requests with regard to, amongst others, their adherence to the requirements of our conflict minerals program.</w:t>
      </w:r>
    </w:p>
    <w:p>
      <w:pPr>
        <w:spacing w:after="0" w:line="193" w:lineRule="exact"/>
        <w:rPr>
          <w:sz w:val="20"/>
          <w:szCs w:val="20"/>
          <w:color w:val="auto"/>
        </w:rPr>
      </w:pPr>
    </w:p>
    <w:p>
      <w:pPr>
        <w:ind w:left="440" w:right="479"/>
        <w:spacing w:after="0" w:line="30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Global Outsourcing Business Management group</w:t>
      </w:r>
      <w:r>
        <w:rPr>
          <w:rFonts w:ascii="Arial" w:cs="Arial" w:eastAsia="Arial" w:hAnsi="Arial"/>
          <w:sz w:val="18"/>
          <w:szCs w:val="18"/>
          <w:color w:val="auto"/>
        </w:rPr>
        <w:t xml:space="preserve"> helps to implement our conflict minerals program by supporting the communication of Company requirements to Back-End subcontractors and monitoring our subcontractors’ engagement and progress in relation to our conflict minerals program.</w:t>
      </w:r>
    </w:p>
    <w:p>
      <w:pPr>
        <w:sectPr>
          <w:pgSz w:w="11900" w:h="16838" w:orient="portrait"/>
          <w:cols w:equalWidth="0" w:num="1">
            <w:col w:w="9019"/>
          </w:cols>
          <w:pgMar w:left="1440" w:top="82" w:right="1440" w:bottom="0" w:gutter="0" w:footer="0" w:header="0"/>
        </w:sectPr>
      </w:pPr>
    </w:p>
    <w:bookmarkStart w:id="5" w:name="page6"/>
    <w:bookmarkEnd w:id="5"/>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40" w:right="499"/>
        <w:spacing w:after="0" w:line="30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Wafer Foundry group</w:t>
      </w:r>
      <w:r>
        <w:rPr>
          <w:rFonts w:ascii="Arial" w:cs="Arial" w:eastAsia="Arial" w:hAnsi="Arial"/>
          <w:sz w:val="18"/>
          <w:szCs w:val="18"/>
          <w:color w:val="auto"/>
        </w:rPr>
        <w:t xml:space="preserve"> supports our conflict minerals program by communicating our requirements to wafer foundries and by monitoring our subcontractors’ engagement and progress in relation to our conflict minerals program.</w:t>
      </w:r>
    </w:p>
    <w:p>
      <w:pPr>
        <w:spacing w:after="0" w:line="182" w:lineRule="exact"/>
        <w:rPr>
          <w:sz w:val="20"/>
          <w:szCs w:val="20"/>
          <w:color w:val="auto"/>
        </w:rPr>
      </w:pPr>
    </w:p>
    <w:p>
      <w:pPr>
        <w:ind w:left="440" w:right="459"/>
        <w:spacing w:after="0" w:line="305" w:lineRule="auto"/>
        <w:rPr>
          <w:sz w:val="20"/>
          <w:szCs w:val="20"/>
          <w:color w:val="auto"/>
        </w:rPr>
      </w:pPr>
      <w:r>
        <w:rPr>
          <w:rFonts w:ascii="Arial" w:cs="Arial" w:eastAsia="Arial" w:hAnsi="Arial"/>
          <w:sz w:val="17"/>
          <w:szCs w:val="17"/>
          <w:color w:val="auto"/>
        </w:rPr>
        <w:t>In addition, our conflict minerals program is included as part of our sustainability and quality strategies and is highlighted as a key objective for each of our relevant internal organizations, in addition to the key internal groups discussed above, as applicable within the scope of their respective activities. A working group with representatives from the principal organizations involved, regularly reviews the progress of the implementation of our conflict minerals program. Based on our needs and as appropriate for the situation, such working group implements the appropriate risk mitigation measures.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Industry wide initiatives</w:t>
      </w:r>
    </w:p>
    <w:p>
      <w:pPr>
        <w:spacing w:after="0" w:line="40" w:lineRule="exact"/>
        <w:rPr>
          <w:sz w:val="20"/>
          <w:szCs w:val="20"/>
          <w:color w:val="auto"/>
        </w:rPr>
      </w:pPr>
    </w:p>
    <w:p>
      <w:pPr>
        <w:ind w:left="440" w:right="479"/>
        <w:spacing w:after="0" w:line="285" w:lineRule="auto"/>
        <w:rPr>
          <w:sz w:val="20"/>
          <w:szCs w:val="20"/>
          <w:color w:val="auto"/>
        </w:rPr>
      </w:pPr>
      <w:r>
        <w:rPr>
          <w:rFonts w:ascii="Arial" w:cs="Arial" w:eastAsia="Arial" w:hAnsi="Arial"/>
          <w:sz w:val="18"/>
          <w:szCs w:val="18"/>
          <w:color w:val="auto"/>
        </w:rPr>
        <w:t>As we are a participating member of the RBA, we employ due diligence methodologies defined by a joint working group comprised of RBA and the Global e-Sustainability Initiative (the “GeSI”) representatives. Tools available for participants in the RBA include the template known as the CMRT. The CMRT was developed to facilitate disclosure and communication of information regarding smelters that provide material to a company’s supply chain. The CMRT is used by many companies in their due diligence processes related to conflict minerals.</w:t>
      </w:r>
    </w:p>
    <w:p>
      <w:pPr>
        <w:spacing w:after="0" w:line="195" w:lineRule="exact"/>
        <w:rPr>
          <w:sz w:val="20"/>
          <w:szCs w:val="20"/>
          <w:color w:val="auto"/>
        </w:rPr>
      </w:pPr>
    </w:p>
    <w:p>
      <w:pPr>
        <w:ind w:left="440" w:right="439"/>
        <w:spacing w:after="0" w:line="282" w:lineRule="auto"/>
        <w:rPr>
          <w:sz w:val="20"/>
          <w:szCs w:val="20"/>
          <w:color w:val="auto"/>
        </w:rPr>
      </w:pPr>
      <w:r>
        <w:rPr>
          <w:rFonts w:ascii="Arial" w:cs="Arial" w:eastAsia="Arial" w:hAnsi="Arial"/>
          <w:sz w:val="18"/>
          <w:szCs w:val="18"/>
          <w:color w:val="auto"/>
        </w:rPr>
        <w:t>In addition, the RBA and the GeSI developed the RMI in 2010, which is a voluntary initiative in which an independent third-party audits smelter procurement and processing activities and determines if the smelter has provided sufficient documentation to demonstrate with reasonable confidence that the minerals it processed originated from conflict-free sources. In 2012, the RMI, the London Bullion Market Association (the “LBMA”) and the Responsible Jewellery Council (the “RJC”) announced their mutual cross-recognition of gold refiner audits. All three programs focus on independent third-party audits of refiners’ due diligence in conformity with the OECD Guidance, which recognizes refiners as a key “choke point” in the gold supply chain.</w:t>
      </w:r>
    </w:p>
    <w:p>
      <w:pPr>
        <w:spacing w:after="0" w:line="214" w:lineRule="exact"/>
        <w:rPr>
          <w:sz w:val="20"/>
          <w:szCs w:val="20"/>
          <w:color w:val="auto"/>
        </w:rPr>
      </w:pPr>
    </w:p>
    <w:p>
      <w:pPr>
        <w:ind w:left="440" w:right="779"/>
        <w:spacing w:after="0" w:line="288" w:lineRule="auto"/>
        <w:rPr>
          <w:sz w:val="20"/>
          <w:szCs w:val="20"/>
          <w:color w:val="auto"/>
        </w:rPr>
      </w:pPr>
      <w:r>
        <w:rPr>
          <w:rFonts w:ascii="Arial" w:cs="Arial" w:eastAsia="Arial" w:hAnsi="Arial"/>
          <w:sz w:val="18"/>
          <w:szCs w:val="18"/>
          <w:color w:val="auto"/>
        </w:rPr>
        <w:t>We, along with other leading participants in the electronics industry, rely on the RMI’s Responsible Minerals Assurance Process (the “RMAP”) or an equivalent industry-wide program for audits of smelters and/or refiners. Further details on this program are available on the RMI’s website at the address referenced above.</w:t>
      </w:r>
    </w:p>
    <w:p>
      <w:pPr>
        <w:spacing w:after="0" w:line="194" w:lineRule="exact"/>
        <w:rPr>
          <w:sz w:val="20"/>
          <w:szCs w:val="20"/>
          <w:color w:val="auto"/>
        </w:rPr>
      </w:pPr>
    </w:p>
    <w:p>
      <w:pPr>
        <w:ind w:left="440" w:right="739"/>
        <w:spacing w:after="0" w:line="318" w:lineRule="auto"/>
        <w:rPr>
          <w:sz w:val="20"/>
          <w:szCs w:val="20"/>
          <w:color w:val="auto"/>
        </w:rPr>
      </w:pPr>
      <w:r>
        <w:rPr>
          <w:rFonts w:ascii="Arial" w:cs="Arial" w:eastAsia="Arial" w:hAnsi="Arial"/>
          <w:sz w:val="18"/>
          <w:szCs w:val="18"/>
          <w:color w:val="auto"/>
        </w:rPr>
        <w:t>As a key element of our strategy, we only engage suppliers and subcontractors who declare to use minerals sourced from RMAP conformant smelters.</w:t>
      </w:r>
    </w:p>
    <w:p>
      <w:pPr>
        <w:spacing w:after="0" w:line="167" w:lineRule="exact"/>
        <w:rPr>
          <w:sz w:val="20"/>
          <w:szCs w:val="20"/>
          <w:color w:val="auto"/>
        </w:rPr>
      </w:pPr>
    </w:p>
    <w:p>
      <w:pPr>
        <w:ind w:left="440" w:right="559"/>
        <w:spacing w:after="0" w:line="316" w:lineRule="auto"/>
        <w:rPr>
          <w:sz w:val="20"/>
          <w:szCs w:val="20"/>
          <w:color w:val="auto"/>
        </w:rPr>
      </w:pPr>
      <w:r>
        <w:rPr>
          <w:rFonts w:ascii="Arial" w:cs="Arial" w:eastAsia="Arial" w:hAnsi="Arial"/>
          <w:sz w:val="17"/>
          <w:szCs w:val="17"/>
          <w:color w:val="auto"/>
        </w:rPr>
        <w:t>In previous years we had reported on additional initiatives undertaken directly towards certain smelters, which at that time did not yet participate in the RMAP conformant smelters program, to influence them to seek full RMAP conformant smelters validation. As the market has reached a sufficient level of maturity as it regards RMAP conformant smelters, and we require our suppliers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002052"/>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right="759"/>
        <w:spacing w:after="0" w:line="318" w:lineRule="auto"/>
        <w:rPr>
          <w:sz w:val="20"/>
          <w:szCs w:val="20"/>
          <w:color w:val="auto"/>
        </w:rPr>
      </w:pPr>
      <w:r>
        <w:rPr>
          <w:rFonts w:ascii="Arial" w:cs="Arial" w:eastAsia="Arial" w:hAnsi="Arial"/>
          <w:sz w:val="18"/>
          <w:szCs w:val="18"/>
          <w:color w:val="auto"/>
        </w:rPr>
        <w:t>subcontractors to only source materials for us from RMAP conformant smelters, we do not need to undertake such additional initiatives anymore.</w:t>
      </w:r>
    </w:p>
    <w:p>
      <w:pPr>
        <w:spacing w:after="0" w:line="167" w:lineRule="exact"/>
        <w:rPr>
          <w:sz w:val="20"/>
          <w:szCs w:val="20"/>
          <w:color w:val="auto"/>
        </w:rPr>
      </w:pPr>
    </w:p>
    <w:p>
      <w:pPr>
        <w:ind w:left="440" w:right="4559"/>
        <w:spacing w:after="0" w:line="555"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risks in the supply chain Risk definition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identified the following risks: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Main downstream risks</w:t>
      </w:r>
    </w:p>
    <w:p>
      <w:pPr>
        <w:spacing w:after="0" w:line="32" w:lineRule="exact"/>
        <w:rPr>
          <w:sz w:val="20"/>
          <w:szCs w:val="20"/>
          <w:color w:val="auto"/>
        </w:rPr>
      </w:pPr>
    </w:p>
    <w:p>
      <w:pPr>
        <w:ind w:left="720" w:hanging="320"/>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Supplier not providing material composition</w:t>
      </w:r>
    </w:p>
    <w:p>
      <w:pPr>
        <w:spacing w:after="0" w:line="2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Supplier not conducting proper due diligence</w:t>
      </w:r>
    </w:p>
    <w:p>
      <w:pPr>
        <w:spacing w:after="0" w:line="3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Supplier declaring smelters list not linked to material sold (effects of multi-sourcing)</w:t>
      </w:r>
    </w:p>
    <w:p>
      <w:pPr>
        <w:spacing w:after="0" w:line="3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Use non-conformant smelters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Main upstream risks</w:t>
      </w:r>
    </w:p>
    <w:p>
      <w:pPr>
        <w:sectPr>
          <w:pgSz w:w="11900" w:h="16904" w:orient="portrait"/>
          <w:cols w:equalWidth="0" w:num="1">
            <w:col w:w="9019"/>
          </w:cols>
          <w:pgMar w:left="1440" w:top="229" w:right="1440" w:bottom="0" w:gutter="0" w:footer="0" w:header="0"/>
        </w:sectPr>
      </w:pPr>
    </w:p>
    <w:bookmarkStart w:id="6" w:name="page7"/>
    <w:bookmarkEnd w:id="6"/>
    <w:p>
      <w:pPr>
        <w:ind w:left="720" w:hanging="320"/>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Serious abuses associated with the extraction, transport, or trade of minerals:</w:t>
      </w:r>
    </w:p>
    <w:p>
      <w:pPr>
        <w:spacing w:after="0" w:line="31" w:lineRule="exact"/>
        <w:rPr>
          <w:rFonts w:ascii="Times New Roman" w:cs="Times New Roman" w:eastAsia="Times New Roman" w:hAnsi="Times New Roman"/>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Any form of torture, cruel, inhumane, and degrading treatment</w:t>
      </w:r>
    </w:p>
    <w:p>
      <w:pPr>
        <w:spacing w:after="0" w:line="13" w:lineRule="exact"/>
        <w:rPr>
          <w:rFonts w:ascii="Calibri" w:cs="Calibri" w:eastAsia="Calibri" w:hAnsi="Calibri"/>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Any form of forced or compulsory labor</w:t>
      </w:r>
    </w:p>
    <w:p>
      <w:pPr>
        <w:spacing w:after="0" w:line="23" w:lineRule="exact"/>
        <w:rPr>
          <w:rFonts w:ascii="Calibri" w:cs="Calibri" w:eastAsia="Calibri" w:hAnsi="Calibri"/>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The worst forms of child labor</w:t>
      </w:r>
    </w:p>
    <w:p>
      <w:pPr>
        <w:spacing w:after="0" w:line="23" w:lineRule="exact"/>
        <w:rPr>
          <w:rFonts w:ascii="Calibri" w:cs="Calibri" w:eastAsia="Calibri" w:hAnsi="Calibri"/>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Other gross human rights violations and abuses, such as widespread sexual violence</w:t>
      </w:r>
    </w:p>
    <w:p>
      <w:pPr>
        <w:spacing w:after="0" w:line="19" w:lineRule="exact"/>
        <w:rPr>
          <w:rFonts w:ascii="Calibri" w:cs="Calibri" w:eastAsia="Calibri" w:hAnsi="Calibri"/>
          <w:sz w:val="18"/>
          <w:szCs w:val="18"/>
          <w:color w:val="auto"/>
        </w:rPr>
      </w:pPr>
    </w:p>
    <w:p>
      <w:pPr>
        <w:ind w:left="1080" w:right="1039" w:hanging="385"/>
        <w:spacing w:after="0" w:line="268" w:lineRule="auto"/>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War crimes or other serious violations of international humanitarian law, crimes against humanity or genocide</w:t>
      </w:r>
    </w:p>
    <w:p>
      <w:pPr>
        <w:ind w:left="720" w:hanging="320"/>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support to non-state armed groups</w:t>
      </w:r>
    </w:p>
    <w:p>
      <w:pPr>
        <w:spacing w:after="0" w:line="3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support to public or private security forces</w:t>
      </w:r>
    </w:p>
    <w:p>
      <w:pPr>
        <w:spacing w:after="0" w:line="3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Bribery and fraudulent misrepresentation of the origin of minerals:</w:t>
      </w:r>
    </w:p>
    <w:p>
      <w:pPr>
        <w:spacing w:after="0" w:line="25" w:lineRule="exact"/>
        <w:rPr>
          <w:rFonts w:ascii="Times New Roman" w:cs="Times New Roman" w:eastAsia="Times New Roman" w:hAnsi="Times New Roman"/>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Money laundering</w:t>
      </w:r>
    </w:p>
    <w:p>
      <w:pPr>
        <w:spacing w:after="0" w:line="23" w:lineRule="exact"/>
        <w:rPr>
          <w:rFonts w:ascii="Calibri" w:cs="Calibri" w:eastAsia="Calibri" w:hAnsi="Calibri"/>
          <w:sz w:val="18"/>
          <w:szCs w:val="18"/>
          <w:color w:val="auto"/>
        </w:rPr>
      </w:pPr>
    </w:p>
    <w:p>
      <w:pPr>
        <w:ind w:left="1080" w:hanging="385"/>
        <w:spacing w:after="0"/>
        <w:tabs>
          <w:tab w:leader="none" w:pos="1080" w:val="left"/>
        </w:tabs>
        <w:numPr>
          <w:ilvl w:val="1"/>
          <w:numId w:val="10"/>
        </w:numPr>
        <w:rPr>
          <w:rFonts w:ascii="Calibri" w:cs="Calibri" w:eastAsia="Calibri" w:hAnsi="Calibri"/>
          <w:sz w:val="18"/>
          <w:szCs w:val="18"/>
          <w:color w:val="auto"/>
        </w:rPr>
      </w:pPr>
      <w:r>
        <w:rPr>
          <w:rFonts w:ascii="Arial" w:cs="Arial" w:eastAsia="Arial" w:hAnsi="Arial"/>
          <w:sz w:val="18"/>
          <w:szCs w:val="18"/>
          <w:color w:val="auto"/>
        </w:rPr>
        <w:t>Non-payment of taxes, fees, and royalties to governments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Main additional risks</w:t>
      </w:r>
    </w:p>
    <w:p>
      <w:pPr>
        <w:spacing w:after="0" w:line="36" w:lineRule="exact"/>
        <w:rPr>
          <w:sz w:val="20"/>
          <w:szCs w:val="20"/>
          <w:color w:val="auto"/>
        </w:rPr>
      </w:pPr>
    </w:p>
    <w:p>
      <w:pPr>
        <w:ind w:left="700" w:hanging="260"/>
        <w:spacing w:after="0"/>
        <w:tabs>
          <w:tab w:leader="none" w:pos="7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Environment (pollution, water consumption abstraction, tailings)</w:t>
      </w:r>
    </w:p>
    <w:p>
      <w:pPr>
        <w:spacing w:after="0" w:line="35"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Health &amp; Safety (occupational health and safety, community health and safety)</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related to red flag situations (situation where risks in supply chain are more likely to be found)</w:t>
      </w:r>
    </w:p>
    <w:p>
      <w:pPr>
        <w:spacing w:after="0" w:line="36" w:lineRule="exact"/>
        <w:rPr>
          <w:sz w:val="20"/>
          <w:szCs w:val="20"/>
          <w:color w:val="auto"/>
        </w:rPr>
      </w:pPr>
    </w:p>
    <w:p>
      <w:pPr>
        <w:ind w:left="760" w:hanging="320"/>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Red flag locations of mineral origin and transit:</w:t>
      </w:r>
    </w:p>
    <w:p>
      <w:pPr>
        <w:spacing w:after="0" w:line="35" w:lineRule="exact"/>
        <w:rPr>
          <w:rFonts w:ascii="Times New Roman" w:cs="Times New Roman" w:eastAsia="Times New Roman" w:hAnsi="Times New Roman"/>
          <w:sz w:val="18"/>
          <w:szCs w:val="18"/>
          <w:color w:val="auto"/>
        </w:rPr>
      </w:pPr>
    </w:p>
    <w:p>
      <w:pPr>
        <w:ind w:left="1080" w:hanging="385"/>
        <w:spacing w:after="0"/>
        <w:tabs>
          <w:tab w:leader="none" w:pos="1080" w:val="left"/>
        </w:tabs>
        <w:numPr>
          <w:ilvl w:val="1"/>
          <w:numId w:val="12"/>
        </w:numPr>
        <w:rPr>
          <w:rFonts w:ascii="Calibri" w:cs="Calibri" w:eastAsia="Calibri" w:hAnsi="Calibri"/>
          <w:sz w:val="18"/>
          <w:szCs w:val="18"/>
          <w:color w:val="auto"/>
        </w:rPr>
      </w:pPr>
      <w:r>
        <w:rPr>
          <w:rFonts w:ascii="Arial" w:cs="Arial" w:eastAsia="Arial" w:hAnsi="Arial"/>
          <w:sz w:val="18"/>
          <w:szCs w:val="18"/>
          <w:color w:val="auto"/>
        </w:rPr>
        <w:t>The minerals originate from or have been transported via a conflict-affected or high-risk area;</w:t>
      </w:r>
    </w:p>
    <w:p>
      <w:pPr>
        <w:spacing w:after="0" w:line="19" w:lineRule="exact"/>
        <w:rPr>
          <w:rFonts w:ascii="Calibri" w:cs="Calibri" w:eastAsia="Calibri" w:hAnsi="Calibri"/>
          <w:sz w:val="18"/>
          <w:szCs w:val="18"/>
          <w:color w:val="auto"/>
        </w:rPr>
      </w:pPr>
    </w:p>
    <w:p>
      <w:pPr>
        <w:ind w:left="1080" w:right="479" w:hanging="385"/>
        <w:spacing w:after="0" w:line="273" w:lineRule="auto"/>
        <w:tabs>
          <w:tab w:leader="none" w:pos="1080" w:val="left"/>
        </w:tabs>
        <w:numPr>
          <w:ilvl w:val="1"/>
          <w:numId w:val="12"/>
        </w:numPr>
        <w:rPr>
          <w:rFonts w:ascii="Calibri" w:cs="Calibri" w:eastAsia="Calibri" w:hAnsi="Calibri"/>
          <w:sz w:val="18"/>
          <w:szCs w:val="18"/>
          <w:color w:val="auto"/>
        </w:rPr>
      </w:pPr>
      <w:r>
        <w:rPr>
          <w:rFonts w:ascii="Arial" w:cs="Arial" w:eastAsia="Arial" w:hAnsi="Arial"/>
          <w:sz w:val="18"/>
          <w:szCs w:val="18"/>
          <w:color w:val="auto"/>
        </w:rPr>
        <w:t>The minerals are claimed to originate from a country that has limited known reserves, likely resources or expected production levels of the mineral in question (i.e., the declared volumes of mineral from that country are out of keeping with its known reserves or expected production levels); and</w:t>
      </w:r>
    </w:p>
    <w:p>
      <w:pPr>
        <w:spacing w:after="0" w:line="2" w:lineRule="exact"/>
        <w:rPr>
          <w:rFonts w:ascii="Calibri" w:cs="Calibri" w:eastAsia="Calibri" w:hAnsi="Calibri"/>
          <w:sz w:val="18"/>
          <w:szCs w:val="18"/>
          <w:color w:val="auto"/>
        </w:rPr>
      </w:pPr>
    </w:p>
    <w:p>
      <w:pPr>
        <w:ind w:left="1080" w:right="639" w:hanging="385"/>
        <w:spacing w:after="0" w:line="268" w:lineRule="auto"/>
        <w:tabs>
          <w:tab w:leader="none" w:pos="1080" w:val="left"/>
        </w:tabs>
        <w:numPr>
          <w:ilvl w:val="1"/>
          <w:numId w:val="12"/>
        </w:numPr>
        <w:rPr>
          <w:rFonts w:ascii="Calibri" w:cs="Calibri" w:eastAsia="Calibri" w:hAnsi="Calibri"/>
          <w:sz w:val="18"/>
          <w:szCs w:val="18"/>
          <w:color w:val="auto"/>
        </w:rPr>
      </w:pPr>
      <w:r>
        <w:rPr>
          <w:rFonts w:ascii="Arial" w:cs="Arial" w:eastAsia="Arial" w:hAnsi="Arial"/>
          <w:sz w:val="18"/>
          <w:szCs w:val="18"/>
          <w:color w:val="auto"/>
        </w:rPr>
        <w:t>The minerals are claimed to originate from a country in which minerals from conflict-affected and high-risk areas are known to transit.</w:t>
      </w:r>
    </w:p>
    <w:p>
      <w:pPr>
        <w:ind w:left="760" w:hanging="320"/>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Supplier red flags:</w:t>
      </w:r>
    </w:p>
    <w:p>
      <w:pPr>
        <w:spacing w:after="0" w:line="35" w:lineRule="exact"/>
        <w:rPr>
          <w:rFonts w:ascii="Times New Roman" w:cs="Times New Roman" w:eastAsia="Times New Roman" w:hAnsi="Times New Roman"/>
          <w:sz w:val="18"/>
          <w:szCs w:val="18"/>
          <w:color w:val="auto"/>
        </w:rPr>
      </w:pPr>
    </w:p>
    <w:p>
      <w:pPr>
        <w:ind w:left="1080" w:right="739" w:hanging="385"/>
        <w:spacing w:after="0" w:line="269" w:lineRule="auto"/>
        <w:tabs>
          <w:tab w:leader="none" w:pos="1080" w:val="left"/>
        </w:tabs>
        <w:numPr>
          <w:ilvl w:val="1"/>
          <w:numId w:val="12"/>
        </w:numPr>
        <w:rPr>
          <w:rFonts w:ascii="Calibri" w:cs="Calibri" w:eastAsia="Calibri" w:hAnsi="Calibri"/>
          <w:sz w:val="18"/>
          <w:szCs w:val="18"/>
          <w:color w:val="auto"/>
        </w:rPr>
      </w:pPr>
      <w:r>
        <w:rPr>
          <w:rFonts w:ascii="Arial" w:cs="Arial" w:eastAsia="Arial" w:hAnsi="Arial"/>
          <w:sz w:val="18"/>
          <w:szCs w:val="18"/>
          <w:color w:val="auto"/>
        </w:rPr>
        <w:t>The company’s suppliers or other known upstream companies have shareholder or other interests in companies that supply minerals from or operate in one of the above-mentioned red flag locations of mineral origin and transit; and</w:t>
      </w:r>
    </w:p>
    <w:p>
      <w:pPr>
        <w:spacing w:after="0" w:line="5" w:lineRule="exact"/>
        <w:rPr>
          <w:rFonts w:ascii="Calibri" w:cs="Calibri" w:eastAsia="Calibri" w:hAnsi="Calibri"/>
          <w:sz w:val="18"/>
          <w:szCs w:val="18"/>
          <w:color w:val="auto"/>
        </w:rPr>
      </w:pPr>
    </w:p>
    <w:p>
      <w:pPr>
        <w:ind w:left="1080" w:right="779" w:hanging="385"/>
        <w:spacing w:after="0" w:line="320" w:lineRule="auto"/>
        <w:tabs>
          <w:tab w:leader="none" w:pos="1080" w:val="left"/>
        </w:tabs>
        <w:numPr>
          <w:ilvl w:val="1"/>
          <w:numId w:val="12"/>
        </w:numPr>
        <w:rPr>
          <w:rFonts w:ascii="Calibri" w:cs="Calibri" w:eastAsia="Calibri" w:hAnsi="Calibri"/>
          <w:sz w:val="17"/>
          <w:szCs w:val="17"/>
          <w:color w:val="auto"/>
        </w:rPr>
      </w:pPr>
      <w:r>
        <w:rPr>
          <w:rFonts w:ascii="Arial" w:cs="Arial" w:eastAsia="Arial" w:hAnsi="Arial"/>
          <w:sz w:val="17"/>
          <w:szCs w:val="17"/>
          <w:color w:val="auto"/>
        </w:rPr>
        <w:t>The company’s suppliers or other known upstream companies are known to have sourced minerals from a red flag location of mineral origin and transit 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 identification processes and tools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identified the above risks using the processes and tools as described below.</w:t>
      </w:r>
    </w:p>
    <w:p>
      <w:pPr>
        <w:spacing w:after="0" w:line="338" w:lineRule="exact"/>
        <w:rPr>
          <w:sz w:val="20"/>
          <w:szCs w:val="20"/>
          <w:color w:val="auto"/>
        </w:rPr>
      </w:pPr>
    </w:p>
    <w:tbl>
      <w:tblPr>
        <w:tblLayout w:type="fixed"/>
        <w:tblInd w:w="450" w:type="dxa"/>
        <w:tblCellMar>
          <w:top w:w="0" w:type="dxa"/>
          <w:left w:w="0" w:type="dxa"/>
          <w:bottom w:w="0" w:type="dxa"/>
          <w:right w:w="0" w:type="dxa"/>
        </w:tblCellMar>
      </w:tblPr>
      <w:tr>
        <w:trPr>
          <w:trHeight w:val="302"/>
        </w:trPr>
        <w:tc>
          <w:tcPr>
            <w:tcW w:w="700" w:type="dxa"/>
            <w:vAlign w:val="bottom"/>
            <w:tcBorders>
              <w:left w:val="single" w:sz="8" w:color="03234B"/>
              <w:bottom w:val="single" w:sz="8" w:color="auto"/>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Risk</w:t>
            </w:r>
          </w:p>
        </w:tc>
        <w:tc>
          <w:tcPr>
            <w:tcW w:w="2820" w:type="dxa"/>
            <w:vAlign w:val="bottom"/>
            <w:tcBorders>
              <w:bottom w:val="single" w:sz="8" w:color="auto"/>
              <w:right w:val="single" w:sz="8" w:color="03234B"/>
            </w:tcBorders>
            <w:shd w:val="clear" w:color="auto" w:fill="03234B"/>
          </w:tcPr>
          <w:p>
            <w:pPr>
              <w:spacing w:after="0"/>
              <w:rPr>
                <w:sz w:val="24"/>
                <w:szCs w:val="24"/>
                <w:color w:val="auto"/>
              </w:rPr>
            </w:pPr>
          </w:p>
        </w:tc>
        <w:tc>
          <w:tcPr>
            <w:tcW w:w="620" w:type="dxa"/>
            <w:vAlign w:val="bottom"/>
            <w:tcBorders>
              <w:bottom w:val="single" w:sz="8" w:color="auto"/>
            </w:tcBorders>
            <w:shd w:val="clear" w:color="auto" w:fill="03234B"/>
          </w:tcPr>
          <w:p>
            <w:pPr>
              <w:spacing w:after="0"/>
              <w:rPr>
                <w:sz w:val="24"/>
                <w:szCs w:val="24"/>
                <w:color w:val="auto"/>
              </w:rPr>
            </w:pPr>
          </w:p>
        </w:tc>
        <w:tc>
          <w:tcPr>
            <w:tcW w:w="4000" w:type="dxa"/>
            <w:vAlign w:val="bottom"/>
            <w:tcBorders>
              <w:bottom w:val="single" w:sz="8" w:color="auto"/>
              <w:right w:val="single" w:sz="8" w:color="03234B"/>
            </w:tcBorders>
            <w:shd w:val="clear" w:color="auto" w:fill="03234B"/>
          </w:tcPr>
          <w:p>
            <w:pPr>
              <w:ind w:left="340"/>
              <w:spacing w:after="0"/>
              <w:rPr>
                <w:sz w:val="20"/>
                <w:szCs w:val="20"/>
                <w:color w:val="auto"/>
              </w:rPr>
            </w:pPr>
            <w:r>
              <w:rPr>
                <w:rFonts w:ascii="Arial" w:cs="Arial" w:eastAsia="Arial" w:hAnsi="Arial"/>
                <w:sz w:val="18"/>
                <w:szCs w:val="18"/>
                <w:b w:val="1"/>
                <w:bCs w:val="1"/>
                <w:color w:val="FFFFFF"/>
              </w:rPr>
              <w:t>Risk identification</w:t>
            </w:r>
          </w:p>
        </w:tc>
      </w:tr>
      <w:tr>
        <w:trPr>
          <w:trHeight w:val="164"/>
        </w:trPr>
        <w:tc>
          <w:tcPr>
            <w:tcW w:w="3520" w:type="dxa"/>
            <w:vAlign w:val="bottom"/>
            <w:tcBorders>
              <w:top w:val="single" w:sz="8" w:color="ABCFFB"/>
              <w:left w:val="single" w:sz="8" w:color="auto"/>
              <w:right w:val="single" w:sz="8" w:color="auto"/>
            </w:tcBorders>
            <w:gridSpan w:val="2"/>
            <w:shd w:val="clear" w:color="auto" w:fill="ABCFFB"/>
          </w:tcPr>
          <w:p>
            <w:pPr>
              <w:ind w:left="440"/>
              <w:spacing w:after="0" w:line="163" w:lineRule="exact"/>
              <w:rPr>
                <w:sz w:val="20"/>
                <w:szCs w:val="20"/>
                <w:color w:val="auto"/>
              </w:rPr>
            </w:pPr>
            <w:r>
              <w:rPr>
                <w:rFonts w:ascii="Arial" w:cs="Arial" w:eastAsia="Arial" w:hAnsi="Arial"/>
                <w:sz w:val="18"/>
                <w:szCs w:val="18"/>
                <w:b w:val="1"/>
                <w:bCs w:val="1"/>
                <w:color w:val="auto"/>
              </w:rPr>
              <w:t>a)  Main risk related to the</w:t>
            </w:r>
          </w:p>
        </w:tc>
        <w:tc>
          <w:tcPr>
            <w:tcW w:w="620" w:type="dxa"/>
            <w:vAlign w:val="bottom"/>
            <w:tcBorders>
              <w:top w:val="single" w:sz="8" w:color="ABCFFB"/>
            </w:tcBorders>
            <w:shd w:val="clear" w:color="auto" w:fill="ABCFFB"/>
          </w:tcPr>
          <w:p>
            <w:pPr>
              <w:ind w:left="420"/>
              <w:spacing w:after="0" w:line="163"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top w:val="single" w:sz="8" w:color="ABCFFB"/>
              <w:right w:val="single" w:sz="8" w:color="auto"/>
            </w:tcBorders>
            <w:shd w:val="clear" w:color="auto" w:fill="ABCFFB"/>
          </w:tcPr>
          <w:p>
            <w:pPr>
              <w:ind w:left="120"/>
              <w:spacing w:after="0" w:line="163" w:lineRule="exact"/>
              <w:rPr>
                <w:sz w:val="20"/>
                <w:szCs w:val="20"/>
                <w:color w:val="auto"/>
              </w:rPr>
            </w:pPr>
            <w:r>
              <w:rPr>
                <w:rFonts w:ascii="Arial" w:cs="Arial" w:eastAsia="Arial" w:hAnsi="Arial"/>
                <w:sz w:val="18"/>
                <w:szCs w:val="18"/>
                <w:color w:val="auto"/>
              </w:rPr>
              <w:t>Material Composition collection</w:t>
            </w:r>
          </w:p>
        </w:tc>
      </w:tr>
      <w:tr>
        <w:trPr>
          <w:trHeight w:val="216"/>
        </w:trPr>
        <w:tc>
          <w:tcPr>
            <w:tcW w:w="700" w:type="dxa"/>
            <w:vAlign w:val="bottom"/>
            <w:tcBorders>
              <w:left w:val="single" w:sz="8" w:color="auto"/>
            </w:tcBorders>
            <w:shd w:val="clear" w:color="auto" w:fill="ABCFFB"/>
          </w:tcPr>
          <w:p>
            <w:pPr>
              <w:spacing w:after="0"/>
              <w:rPr>
                <w:sz w:val="18"/>
                <w:szCs w:val="18"/>
                <w:color w:val="auto"/>
              </w:rPr>
            </w:pPr>
          </w:p>
        </w:tc>
        <w:tc>
          <w:tcPr>
            <w:tcW w:w="2820" w:type="dxa"/>
            <w:vAlign w:val="bottom"/>
            <w:tcBorders>
              <w:right w:val="single" w:sz="8" w:color="auto"/>
            </w:tcBorders>
            <w:shd w:val="clear" w:color="auto" w:fill="ABCFFB"/>
          </w:tcPr>
          <w:p>
            <w:pPr>
              <w:ind w:left="80"/>
              <w:spacing w:after="0"/>
              <w:rPr>
                <w:sz w:val="20"/>
                <w:szCs w:val="20"/>
                <w:color w:val="auto"/>
              </w:rPr>
            </w:pPr>
            <w:r>
              <w:rPr>
                <w:rFonts w:ascii="Arial" w:cs="Arial" w:eastAsia="Arial" w:hAnsi="Arial"/>
                <w:sz w:val="18"/>
                <w:szCs w:val="18"/>
                <w:b w:val="1"/>
                <w:bCs w:val="1"/>
                <w:color w:val="auto"/>
              </w:rPr>
              <w:t>Downstream supply chain</w:t>
            </w:r>
          </w:p>
        </w:tc>
        <w:tc>
          <w:tcPr>
            <w:tcW w:w="620" w:type="dxa"/>
            <w:vAlign w:val="bottom"/>
            <w:shd w:val="clear" w:color="auto" w:fill="ABCFFB"/>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shd w:val="clear" w:color="auto" w:fill="ABCFFB"/>
          </w:tcPr>
          <w:p>
            <w:pPr>
              <w:ind w:left="120"/>
              <w:spacing w:after="0"/>
              <w:rPr>
                <w:sz w:val="20"/>
                <w:szCs w:val="20"/>
                <w:color w:val="auto"/>
              </w:rPr>
            </w:pPr>
            <w:r>
              <w:rPr>
                <w:rFonts w:ascii="Arial" w:cs="Arial" w:eastAsia="Arial" w:hAnsi="Arial"/>
                <w:sz w:val="18"/>
                <w:szCs w:val="18"/>
                <w:color w:val="auto"/>
              </w:rPr>
              <w:t>Responsible Minerals Statement</w:t>
            </w:r>
          </w:p>
        </w:tc>
      </w:tr>
      <w:tr>
        <w:trPr>
          <w:trHeight w:val="239"/>
        </w:trPr>
        <w:tc>
          <w:tcPr>
            <w:tcW w:w="700" w:type="dxa"/>
            <w:vAlign w:val="bottom"/>
            <w:tcBorders>
              <w:left w:val="single" w:sz="8" w:color="auto"/>
            </w:tcBorders>
            <w:shd w:val="clear" w:color="auto" w:fill="ABCFFB"/>
          </w:tcPr>
          <w:p>
            <w:pPr>
              <w:spacing w:after="0"/>
              <w:rPr>
                <w:sz w:val="20"/>
                <w:szCs w:val="20"/>
                <w:color w:val="auto"/>
              </w:rPr>
            </w:pPr>
          </w:p>
        </w:tc>
        <w:tc>
          <w:tcPr>
            <w:tcW w:w="2820" w:type="dxa"/>
            <w:vAlign w:val="bottom"/>
            <w:tcBorders>
              <w:right w:val="single" w:sz="8" w:color="auto"/>
            </w:tcBorders>
            <w:shd w:val="clear" w:color="auto" w:fill="ABCFFB"/>
          </w:tcPr>
          <w:p>
            <w:pPr>
              <w:spacing w:after="0"/>
              <w:rPr>
                <w:sz w:val="20"/>
                <w:szCs w:val="20"/>
                <w:color w:val="auto"/>
              </w:rPr>
            </w:pPr>
          </w:p>
        </w:tc>
        <w:tc>
          <w:tcPr>
            <w:tcW w:w="620" w:type="dxa"/>
            <w:vAlign w:val="bottom"/>
            <w:shd w:val="clear" w:color="auto" w:fill="ABCFFB"/>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shd w:val="clear" w:color="auto" w:fill="ABCFFB"/>
          </w:tcPr>
          <w:p>
            <w:pPr>
              <w:ind w:left="120"/>
              <w:spacing w:after="0"/>
              <w:rPr>
                <w:sz w:val="20"/>
                <w:szCs w:val="20"/>
                <w:color w:val="auto"/>
              </w:rPr>
            </w:pPr>
            <w:r>
              <w:rPr>
                <w:rFonts w:ascii="Arial" w:cs="Arial" w:eastAsia="Arial" w:hAnsi="Arial"/>
                <w:sz w:val="18"/>
                <w:szCs w:val="18"/>
                <w:color w:val="auto"/>
              </w:rPr>
              <w:t>Downstream Assessment Program</w:t>
            </w:r>
          </w:p>
        </w:tc>
      </w:tr>
      <w:tr>
        <w:trPr>
          <w:trHeight w:val="158"/>
        </w:trPr>
        <w:tc>
          <w:tcPr>
            <w:tcW w:w="700" w:type="dxa"/>
            <w:vAlign w:val="bottom"/>
            <w:tcBorders>
              <w:left w:val="single" w:sz="8" w:color="auto"/>
              <w:bottom w:val="single" w:sz="8" w:color="auto"/>
            </w:tcBorders>
            <w:shd w:val="clear" w:color="auto" w:fill="ABCFFB"/>
          </w:tcPr>
          <w:p>
            <w:pPr>
              <w:spacing w:after="0"/>
              <w:rPr>
                <w:sz w:val="13"/>
                <w:szCs w:val="13"/>
                <w:color w:val="auto"/>
              </w:rPr>
            </w:pPr>
          </w:p>
        </w:tc>
        <w:tc>
          <w:tcPr>
            <w:tcW w:w="2820" w:type="dxa"/>
            <w:vAlign w:val="bottom"/>
            <w:tcBorders>
              <w:bottom w:val="single" w:sz="8" w:color="auto"/>
              <w:right w:val="single" w:sz="8" w:color="auto"/>
            </w:tcBorders>
            <w:shd w:val="clear" w:color="auto" w:fill="ABCFFB"/>
          </w:tcPr>
          <w:p>
            <w:pPr>
              <w:spacing w:after="0"/>
              <w:rPr>
                <w:sz w:val="13"/>
                <w:szCs w:val="13"/>
                <w:color w:val="auto"/>
              </w:rPr>
            </w:pPr>
          </w:p>
        </w:tc>
        <w:tc>
          <w:tcPr>
            <w:tcW w:w="620" w:type="dxa"/>
            <w:vAlign w:val="bottom"/>
            <w:tcBorders>
              <w:bottom w:val="single" w:sz="8" w:color="auto"/>
            </w:tcBorders>
            <w:shd w:val="clear" w:color="auto" w:fill="ABCFFB"/>
          </w:tcPr>
          <w:p>
            <w:pPr>
              <w:spacing w:after="0"/>
              <w:rPr>
                <w:sz w:val="13"/>
                <w:szCs w:val="13"/>
                <w:color w:val="auto"/>
              </w:rPr>
            </w:pPr>
          </w:p>
        </w:tc>
        <w:tc>
          <w:tcPr>
            <w:tcW w:w="4000" w:type="dxa"/>
            <w:vAlign w:val="bottom"/>
            <w:tcBorders>
              <w:bottom w:val="single" w:sz="8" w:color="auto"/>
              <w:right w:val="single" w:sz="8" w:color="auto"/>
            </w:tcBorders>
            <w:shd w:val="clear" w:color="auto" w:fill="ABCFFB"/>
          </w:tcPr>
          <w:p>
            <w:pPr>
              <w:spacing w:after="0"/>
              <w:rPr>
                <w:sz w:val="13"/>
                <w:szCs w:val="13"/>
                <w:color w:val="auto"/>
              </w:rPr>
            </w:pPr>
          </w:p>
        </w:tc>
      </w:tr>
      <w:tr>
        <w:trPr>
          <w:trHeight w:val="177"/>
        </w:trPr>
        <w:tc>
          <w:tcPr>
            <w:tcW w:w="700" w:type="dxa"/>
            <w:vAlign w:val="bottom"/>
            <w:tcBorders>
              <w:left w:val="single" w:sz="8" w:color="auto"/>
            </w:tcBorders>
          </w:tcPr>
          <w:p>
            <w:pPr>
              <w:ind w:left="440"/>
              <w:spacing w:after="0" w:line="177" w:lineRule="exact"/>
              <w:rPr>
                <w:sz w:val="20"/>
                <w:szCs w:val="20"/>
                <w:color w:val="auto"/>
              </w:rPr>
            </w:pPr>
            <w:r>
              <w:rPr>
                <w:rFonts w:ascii="Arial" w:cs="Arial" w:eastAsia="Arial" w:hAnsi="Arial"/>
                <w:sz w:val="18"/>
                <w:szCs w:val="18"/>
                <w:b w:val="1"/>
                <w:bCs w:val="1"/>
                <w:color w:val="auto"/>
              </w:rPr>
              <w:t>b)</w:t>
            </w:r>
          </w:p>
        </w:tc>
        <w:tc>
          <w:tcPr>
            <w:tcW w:w="28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b w:val="1"/>
                <w:bCs w:val="1"/>
                <w:color w:val="auto"/>
              </w:rPr>
              <w:t>Main risk related to the</w:t>
            </w:r>
          </w:p>
        </w:tc>
        <w:tc>
          <w:tcPr>
            <w:tcW w:w="62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CMRT</w:t>
            </w:r>
          </w:p>
        </w:tc>
      </w:tr>
      <w:tr>
        <w:trPr>
          <w:trHeight w:val="216"/>
        </w:trPr>
        <w:tc>
          <w:tcPr>
            <w:tcW w:w="700" w:type="dxa"/>
            <w:vAlign w:val="bottom"/>
            <w:tcBorders>
              <w:lef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Upstream supply chain</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Smelters Audits (conducted pursuant to the</w:t>
            </w:r>
          </w:p>
        </w:tc>
      </w:tr>
      <w:tr>
        <w:trPr>
          <w:trHeight w:val="239"/>
        </w:trPr>
        <w:tc>
          <w:tcPr>
            <w:tcW w:w="700" w:type="dxa"/>
            <w:vAlign w:val="bottom"/>
            <w:tcBorders>
              <w:lef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RMAP)</w:t>
            </w:r>
          </w:p>
        </w:tc>
      </w:tr>
      <w:tr>
        <w:trPr>
          <w:trHeight w:val="158"/>
        </w:trPr>
        <w:tc>
          <w:tcPr>
            <w:tcW w:w="700" w:type="dxa"/>
            <w:vAlign w:val="bottom"/>
            <w:tcBorders>
              <w:left w:val="single" w:sz="8" w:color="auto"/>
              <w:bottom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0" w:type="dxa"/>
            <w:vAlign w:val="bottom"/>
            <w:tcBorders>
              <w:bottom w:val="single" w:sz="8" w:color="auto"/>
              <w:right w:val="single" w:sz="8" w:color="auto"/>
            </w:tcBorders>
          </w:tcPr>
          <w:p>
            <w:pPr>
              <w:spacing w:after="0"/>
              <w:rPr>
                <w:sz w:val="13"/>
                <w:szCs w:val="13"/>
                <w:color w:val="auto"/>
              </w:rPr>
            </w:pPr>
          </w:p>
        </w:tc>
      </w:tr>
      <w:tr>
        <w:trPr>
          <w:trHeight w:val="177"/>
        </w:trPr>
        <w:tc>
          <w:tcPr>
            <w:tcW w:w="700" w:type="dxa"/>
            <w:vAlign w:val="bottom"/>
            <w:tcBorders>
              <w:left w:val="single" w:sz="8" w:color="auto"/>
            </w:tcBorders>
            <w:shd w:val="clear" w:color="auto" w:fill="ABCFFB"/>
          </w:tcPr>
          <w:p>
            <w:pPr>
              <w:ind w:left="440"/>
              <w:spacing w:after="0" w:line="177" w:lineRule="exact"/>
              <w:rPr>
                <w:sz w:val="20"/>
                <w:szCs w:val="20"/>
                <w:color w:val="auto"/>
              </w:rPr>
            </w:pPr>
            <w:r>
              <w:rPr>
                <w:rFonts w:ascii="Arial" w:cs="Arial" w:eastAsia="Arial" w:hAnsi="Arial"/>
                <w:sz w:val="18"/>
                <w:szCs w:val="18"/>
                <w:color w:val="auto"/>
              </w:rPr>
              <w:t>c)</w:t>
            </w:r>
          </w:p>
        </w:tc>
        <w:tc>
          <w:tcPr>
            <w:tcW w:w="2820" w:type="dxa"/>
            <w:vAlign w:val="bottom"/>
            <w:tcBorders>
              <w:right w:val="single" w:sz="8" w:color="auto"/>
            </w:tcBorders>
            <w:shd w:val="clear" w:color="auto" w:fill="ABCFFB"/>
          </w:tcPr>
          <w:p>
            <w:pPr>
              <w:ind w:left="80"/>
              <w:spacing w:after="0" w:line="177" w:lineRule="exact"/>
              <w:rPr>
                <w:sz w:val="20"/>
                <w:szCs w:val="20"/>
                <w:color w:val="auto"/>
              </w:rPr>
            </w:pPr>
            <w:r>
              <w:rPr>
                <w:rFonts w:ascii="Arial" w:cs="Arial" w:eastAsia="Arial" w:hAnsi="Arial"/>
                <w:sz w:val="18"/>
                <w:szCs w:val="18"/>
                <w:b w:val="1"/>
                <w:bCs w:val="1"/>
                <w:color w:val="auto"/>
              </w:rPr>
              <w:t>Additional risks</w:t>
            </w:r>
          </w:p>
        </w:tc>
        <w:tc>
          <w:tcPr>
            <w:tcW w:w="620" w:type="dxa"/>
            <w:vAlign w:val="bottom"/>
            <w:shd w:val="clear" w:color="auto" w:fill="ABCFFB"/>
          </w:tcPr>
          <w:p>
            <w:pPr>
              <w:ind w:left="4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shd w:val="clear" w:color="auto" w:fill="ABCFFB"/>
          </w:tcPr>
          <w:p>
            <w:pPr>
              <w:ind w:left="120"/>
              <w:spacing w:after="0" w:line="177" w:lineRule="exact"/>
              <w:rPr>
                <w:sz w:val="20"/>
                <w:szCs w:val="20"/>
                <w:color w:val="auto"/>
              </w:rPr>
            </w:pPr>
            <w:r>
              <w:rPr>
                <w:rFonts w:ascii="Arial" w:cs="Arial" w:eastAsia="Arial" w:hAnsi="Arial"/>
                <w:sz w:val="18"/>
                <w:szCs w:val="18"/>
                <w:color w:val="auto"/>
              </w:rPr>
              <w:t>RMI &amp; ST Grievance portal</w:t>
            </w:r>
          </w:p>
        </w:tc>
      </w:tr>
      <w:tr>
        <w:trPr>
          <w:trHeight w:val="239"/>
        </w:trPr>
        <w:tc>
          <w:tcPr>
            <w:tcW w:w="700" w:type="dxa"/>
            <w:vAlign w:val="bottom"/>
            <w:tcBorders>
              <w:left w:val="single" w:sz="8" w:color="auto"/>
            </w:tcBorders>
            <w:shd w:val="clear" w:color="auto" w:fill="ABCFFB"/>
          </w:tcPr>
          <w:p>
            <w:pPr>
              <w:spacing w:after="0"/>
              <w:rPr>
                <w:sz w:val="20"/>
                <w:szCs w:val="20"/>
                <w:color w:val="auto"/>
              </w:rPr>
            </w:pPr>
          </w:p>
        </w:tc>
        <w:tc>
          <w:tcPr>
            <w:tcW w:w="2820" w:type="dxa"/>
            <w:vAlign w:val="bottom"/>
            <w:tcBorders>
              <w:right w:val="single" w:sz="8" w:color="auto"/>
            </w:tcBorders>
            <w:shd w:val="clear" w:color="auto" w:fill="ABCFFB"/>
          </w:tcPr>
          <w:p>
            <w:pPr>
              <w:spacing w:after="0"/>
              <w:rPr>
                <w:sz w:val="20"/>
                <w:szCs w:val="20"/>
                <w:color w:val="auto"/>
              </w:rPr>
            </w:pPr>
          </w:p>
        </w:tc>
        <w:tc>
          <w:tcPr>
            <w:tcW w:w="620" w:type="dxa"/>
            <w:vAlign w:val="bottom"/>
            <w:shd w:val="clear" w:color="auto" w:fill="ABCFFB"/>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shd w:val="clear" w:color="auto" w:fill="ABCFFB"/>
          </w:tcPr>
          <w:p>
            <w:pPr>
              <w:ind w:left="120"/>
              <w:spacing w:after="0"/>
              <w:rPr>
                <w:sz w:val="20"/>
                <w:szCs w:val="20"/>
                <w:color w:val="auto"/>
              </w:rPr>
            </w:pPr>
            <w:r>
              <w:rPr>
                <w:rFonts w:ascii="Arial" w:cs="Arial" w:eastAsia="Arial" w:hAnsi="Arial"/>
                <w:sz w:val="18"/>
                <w:szCs w:val="18"/>
                <w:color w:val="auto"/>
              </w:rPr>
              <w:t>Web watch</w:t>
            </w:r>
          </w:p>
        </w:tc>
      </w:tr>
      <w:tr>
        <w:trPr>
          <w:trHeight w:val="374"/>
        </w:trPr>
        <w:tc>
          <w:tcPr>
            <w:tcW w:w="700" w:type="dxa"/>
            <w:vAlign w:val="bottom"/>
            <w:tcBorders>
              <w:left w:val="single" w:sz="8" w:color="auto"/>
              <w:bottom w:val="single" w:sz="8" w:color="auto"/>
            </w:tcBorders>
            <w:shd w:val="clear" w:color="auto" w:fill="ABCFFB"/>
          </w:tcPr>
          <w:p>
            <w:pPr>
              <w:spacing w:after="0"/>
              <w:rPr>
                <w:sz w:val="24"/>
                <w:szCs w:val="24"/>
                <w:color w:val="auto"/>
              </w:rPr>
            </w:pPr>
          </w:p>
        </w:tc>
        <w:tc>
          <w:tcPr>
            <w:tcW w:w="2820" w:type="dxa"/>
            <w:vAlign w:val="bottom"/>
            <w:tcBorders>
              <w:bottom w:val="single" w:sz="8" w:color="auto"/>
              <w:right w:val="single" w:sz="8" w:color="auto"/>
            </w:tcBorders>
            <w:shd w:val="clear" w:color="auto" w:fill="ABCFFB"/>
          </w:tcPr>
          <w:p>
            <w:pPr>
              <w:spacing w:after="0"/>
              <w:rPr>
                <w:sz w:val="24"/>
                <w:szCs w:val="24"/>
                <w:color w:val="auto"/>
              </w:rPr>
            </w:pPr>
          </w:p>
        </w:tc>
        <w:tc>
          <w:tcPr>
            <w:tcW w:w="620" w:type="dxa"/>
            <w:vAlign w:val="bottom"/>
            <w:tcBorders>
              <w:bottom w:val="single" w:sz="8" w:color="auto"/>
            </w:tcBorders>
            <w:shd w:val="clear" w:color="auto" w:fill="ABCFFB"/>
          </w:tcPr>
          <w:p>
            <w:pPr>
              <w:spacing w:after="0"/>
              <w:rPr>
                <w:sz w:val="24"/>
                <w:szCs w:val="24"/>
                <w:color w:val="auto"/>
              </w:rPr>
            </w:pPr>
          </w:p>
        </w:tc>
        <w:tc>
          <w:tcPr>
            <w:tcW w:w="4000" w:type="dxa"/>
            <w:vAlign w:val="bottom"/>
            <w:tcBorders>
              <w:bottom w:val="single" w:sz="8" w:color="auto"/>
              <w:right w:val="single" w:sz="8" w:color="auto"/>
            </w:tcBorders>
            <w:shd w:val="clear" w:color="auto" w:fill="ABCFFB"/>
          </w:tcPr>
          <w:p>
            <w:pPr>
              <w:spacing w:after="0"/>
              <w:rPr>
                <w:sz w:val="24"/>
                <w:szCs w:val="24"/>
                <w:color w:val="auto"/>
              </w:rPr>
            </w:pPr>
          </w:p>
        </w:tc>
      </w:tr>
      <w:tr>
        <w:trPr>
          <w:trHeight w:val="177"/>
        </w:trPr>
        <w:tc>
          <w:tcPr>
            <w:tcW w:w="700" w:type="dxa"/>
            <w:vAlign w:val="bottom"/>
            <w:tcBorders>
              <w:left w:val="single" w:sz="8" w:color="auto"/>
            </w:tcBorders>
          </w:tcPr>
          <w:p>
            <w:pPr>
              <w:ind w:left="440"/>
              <w:spacing w:after="0" w:line="177" w:lineRule="exact"/>
              <w:rPr>
                <w:sz w:val="20"/>
                <w:szCs w:val="20"/>
                <w:color w:val="auto"/>
              </w:rPr>
            </w:pPr>
            <w:r>
              <w:rPr>
                <w:rFonts w:ascii="Arial" w:cs="Arial" w:eastAsia="Arial" w:hAnsi="Arial"/>
                <w:sz w:val="18"/>
                <w:szCs w:val="18"/>
                <w:color w:val="auto"/>
              </w:rPr>
              <w:t>d)</w:t>
            </w:r>
          </w:p>
        </w:tc>
        <w:tc>
          <w:tcPr>
            <w:tcW w:w="28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b w:val="1"/>
                <w:bCs w:val="1"/>
                <w:color w:val="auto"/>
              </w:rPr>
              <w:t>Red flag situations</w:t>
            </w:r>
          </w:p>
        </w:tc>
        <w:tc>
          <w:tcPr>
            <w:tcW w:w="62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Reasonable Country of Origin Inquiry (“RCOI”)</w:t>
            </w:r>
          </w:p>
        </w:tc>
      </w:tr>
      <w:tr>
        <w:trPr>
          <w:trHeight w:val="216"/>
        </w:trPr>
        <w:tc>
          <w:tcPr>
            <w:tcW w:w="700" w:type="dxa"/>
            <w:vAlign w:val="bottom"/>
            <w:tcBorders>
              <w:lef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list</w:t>
            </w:r>
          </w:p>
        </w:tc>
      </w:tr>
      <w:tr>
        <w:trPr>
          <w:trHeight w:val="216"/>
        </w:trPr>
        <w:tc>
          <w:tcPr>
            <w:tcW w:w="700" w:type="dxa"/>
            <w:vAlign w:val="bottom"/>
            <w:tcBorders>
              <w:lef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Smelters Audit (conducted pursuant to the</w:t>
            </w:r>
          </w:p>
        </w:tc>
      </w:tr>
      <w:tr>
        <w:trPr>
          <w:trHeight w:val="239"/>
        </w:trPr>
        <w:tc>
          <w:tcPr>
            <w:tcW w:w="700" w:type="dxa"/>
            <w:vAlign w:val="bottom"/>
            <w:tcBorders>
              <w:lef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RMAP)</w:t>
            </w:r>
          </w:p>
        </w:tc>
      </w:tr>
      <w:tr>
        <w:trPr>
          <w:trHeight w:val="37"/>
        </w:trPr>
        <w:tc>
          <w:tcPr>
            <w:tcW w:w="70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9019"/>
          </w:cols>
          <w:pgMar w:left="1440" w:top="161" w:right="1440" w:bottom="0" w:gutter="0" w:footer="0" w:header="0"/>
        </w:sectPr>
      </w:pPr>
    </w:p>
    <w:bookmarkStart w:id="7" w:name="page8"/>
    <w:bookmarkEnd w:id="7"/>
    <w:p>
      <w:pPr>
        <w:ind w:left="440"/>
        <w:spacing w:after="0"/>
        <w:rPr>
          <w:sz w:val="20"/>
          <w:szCs w:val="20"/>
          <w:color w:val="auto"/>
        </w:rPr>
      </w:pPr>
      <w:r>
        <w:rPr>
          <w:rFonts w:ascii="Arial" w:cs="Arial" w:eastAsia="Arial" w:hAnsi="Arial"/>
          <w:sz w:val="18"/>
          <w:szCs w:val="18"/>
          <w:i w:val="1"/>
          <w:iCs w:val="1"/>
          <w:color w:val="auto"/>
        </w:rPr>
        <w:t>Risk identification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-93980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description of our risk identification methods:</w:t>
      </w:r>
    </w:p>
    <w:p>
      <w:pPr>
        <w:spacing w:after="0" w:line="266" w:lineRule="exact"/>
        <w:rPr>
          <w:sz w:val="20"/>
          <w:szCs w:val="20"/>
          <w:color w:val="auto"/>
        </w:rPr>
      </w:pPr>
    </w:p>
    <w:p>
      <w:pPr>
        <w:ind w:left="760" w:hanging="320"/>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Material Composition collection</w:t>
      </w:r>
    </w:p>
    <w:p>
      <w:pPr>
        <w:spacing w:after="0" w:line="278" w:lineRule="exact"/>
        <w:rPr>
          <w:rFonts w:ascii="Times New Roman" w:cs="Times New Roman" w:eastAsia="Times New Roman" w:hAnsi="Times New Roman"/>
          <w:sz w:val="18"/>
          <w:szCs w:val="18"/>
          <w:color w:val="auto"/>
        </w:rPr>
      </w:pPr>
    </w:p>
    <w:p>
      <w:pPr>
        <w:ind w:left="760" w:right="539"/>
        <w:spacing w:after="0" w:line="292" w:lineRule="auto"/>
        <w:rPr>
          <w:rFonts w:ascii="Times New Roman" w:cs="Times New Roman" w:eastAsia="Times New Roman" w:hAnsi="Times New Roman"/>
          <w:sz w:val="18"/>
          <w:szCs w:val="18"/>
          <w:color w:val="auto"/>
        </w:rPr>
      </w:pPr>
      <w:r>
        <w:rPr>
          <w:rFonts w:ascii="Arial" w:cs="Arial" w:eastAsia="Arial" w:hAnsi="Arial"/>
          <w:sz w:val="18"/>
          <w:szCs w:val="18"/>
          <w:color w:val="auto"/>
        </w:rPr>
        <w:t>We periodically ask our suppliers to provide the detailed material composition of the materials used in our manufacturing processes. That data allows us to identify the materials in scope of the RMI program.</w:t>
      </w:r>
    </w:p>
    <w:p>
      <w:pPr>
        <w:spacing w:after="0" w:line="203" w:lineRule="exact"/>
        <w:rPr>
          <w:rFonts w:ascii="Times New Roman" w:cs="Times New Roman" w:eastAsia="Times New Roman" w:hAnsi="Times New Roman"/>
          <w:sz w:val="18"/>
          <w:szCs w:val="18"/>
          <w:color w:val="auto"/>
        </w:rPr>
      </w:pPr>
    </w:p>
    <w:p>
      <w:pPr>
        <w:ind w:left="760" w:right="479"/>
        <w:spacing w:after="0" w:line="292"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case the material composition is not yet received to demonstrate the presence of substances in scope of the RMI program, we check the material family to assess if the materials could potentially contain substances in scope of the RMI program.</w:t>
      </w:r>
    </w:p>
    <w:p>
      <w:pPr>
        <w:spacing w:after="0" w:line="203"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Responsible Minerals Statement</w:t>
      </w:r>
    </w:p>
    <w:p>
      <w:pPr>
        <w:spacing w:after="0" w:line="26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Annually we deploy a questionnaire to our suppliers which allows us to:</w:t>
      </w:r>
    </w:p>
    <w:p>
      <w:pPr>
        <w:spacing w:after="0" w:line="36"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1"/>
          <w:numId w:val="13"/>
        </w:numPr>
        <w:rPr>
          <w:rFonts w:ascii="Calibri" w:cs="Calibri" w:eastAsia="Calibri" w:hAnsi="Calibri"/>
          <w:sz w:val="18"/>
          <w:szCs w:val="18"/>
          <w:color w:val="auto"/>
        </w:rPr>
      </w:pPr>
      <w:r>
        <w:rPr>
          <w:rFonts w:ascii="Arial" w:cs="Arial" w:eastAsia="Arial" w:hAnsi="Arial"/>
          <w:sz w:val="18"/>
          <w:szCs w:val="18"/>
          <w:color w:val="auto"/>
        </w:rPr>
        <w:t>Identify minerals and suppliers in scope of the RMI program;</w:t>
      </w:r>
    </w:p>
    <w:p>
      <w:pPr>
        <w:spacing w:after="0" w:line="23" w:lineRule="exact"/>
        <w:rPr>
          <w:rFonts w:ascii="Calibri" w:cs="Calibri" w:eastAsia="Calibri" w:hAnsi="Calibri"/>
          <w:sz w:val="18"/>
          <w:szCs w:val="18"/>
          <w:color w:val="auto"/>
        </w:rPr>
      </w:pPr>
    </w:p>
    <w:p>
      <w:pPr>
        <w:ind w:left="1080" w:hanging="316"/>
        <w:spacing w:after="0"/>
        <w:tabs>
          <w:tab w:leader="none" w:pos="1080" w:val="left"/>
        </w:tabs>
        <w:numPr>
          <w:ilvl w:val="1"/>
          <w:numId w:val="13"/>
        </w:numPr>
        <w:rPr>
          <w:rFonts w:ascii="Calibri" w:cs="Calibri" w:eastAsia="Calibri" w:hAnsi="Calibri"/>
          <w:sz w:val="18"/>
          <w:szCs w:val="18"/>
          <w:color w:val="auto"/>
        </w:rPr>
      </w:pPr>
      <w:r>
        <w:rPr>
          <w:rFonts w:ascii="Arial" w:cs="Arial" w:eastAsia="Arial" w:hAnsi="Arial"/>
          <w:sz w:val="18"/>
          <w:szCs w:val="18"/>
          <w:color w:val="auto"/>
        </w:rPr>
        <w:t>Share our requirements;</w:t>
      </w:r>
    </w:p>
    <w:p>
      <w:pPr>
        <w:spacing w:after="0" w:line="19" w:lineRule="exact"/>
        <w:rPr>
          <w:rFonts w:ascii="Calibri" w:cs="Calibri" w:eastAsia="Calibri" w:hAnsi="Calibri"/>
          <w:sz w:val="18"/>
          <w:szCs w:val="18"/>
          <w:color w:val="auto"/>
        </w:rPr>
      </w:pPr>
    </w:p>
    <w:p>
      <w:pPr>
        <w:ind w:left="1080" w:hanging="316"/>
        <w:spacing w:after="0"/>
        <w:tabs>
          <w:tab w:leader="none" w:pos="1080" w:val="left"/>
        </w:tabs>
        <w:numPr>
          <w:ilvl w:val="1"/>
          <w:numId w:val="13"/>
        </w:numPr>
        <w:rPr>
          <w:rFonts w:ascii="Calibri" w:cs="Calibri" w:eastAsia="Calibri" w:hAnsi="Calibri"/>
          <w:sz w:val="18"/>
          <w:szCs w:val="18"/>
          <w:color w:val="auto"/>
        </w:rPr>
      </w:pPr>
      <w:r>
        <w:rPr>
          <w:rFonts w:ascii="Arial" w:cs="Arial" w:eastAsia="Arial" w:hAnsi="Arial"/>
          <w:sz w:val="18"/>
          <w:szCs w:val="18"/>
          <w:color w:val="auto"/>
        </w:rPr>
        <w:t>Check supplier’s alignment with our requirements; and</w:t>
      </w:r>
    </w:p>
    <w:p>
      <w:pPr>
        <w:spacing w:after="0" w:line="13" w:lineRule="exact"/>
        <w:rPr>
          <w:rFonts w:ascii="Calibri" w:cs="Calibri" w:eastAsia="Calibri" w:hAnsi="Calibri"/>
          <w:sz w:val="18"/>
          <w:szCs w:val="18"/>
          <w:color w:val="auto"/>
        </w:rPr>
      </w:pPr>
    </w:p>
    <w:p>
      <w:pPr>
        <w:ind w:left="1080" w:hanging="316"/>
        <w:spacing w:after="0"/>
        <w:tabs>
          <w:tab w:leader="none" w:pos="1080" w:val="left"/>
        </w:tabs>
        <w:numPr>
          <w:ilvl w:val="1"/>
          <w:numId w:val="13"/>
        </w:numPr>
        <w:rPr>
          <w:rFonts w:ascii="Calibri" w:cs="Calibri" w:eastAsia="Calibri" w:hAnsi="Calibri"/>
          <w:sz w:val="18"/>
          <w:szCs w:val="18"/>
          <w:color w:val="auto"/>
        </w:rPr>
      </w:pPr>
      <w:r>
        <w:rPr>
          <w:rFonts w:ascii="Arial" w:cs="Arial" w:eastAsia="Arial" w:hAnsi="Arial"/>
          <w:sz w:val="18"/>
          <w:szCs w:val="18"/>
          <w:color w:val="auto"/>
        </w:rPr>
        <w:t>Assess risks at supplier level.</w:t>
      </w:r>
    </w:p>
    <w:p>
      <w:pPr>
        <w:spacing w:after="0" w:line="252" w:lineRule="exact"/>
        <w:rPr>
          <w:rFonts w:ascii="Calibri" w:cs="Calibri" w:eastAsia="Calibri" w:hAnsi="Calibri"/>
          <w:sz w:val="18"/>
          <w:szCs w:val="18"/>
          <w:color w:val="auto"/>
        </w:rPr>
      </w:pPr>
    </w:p>
    <w:p>
      <w:pPr>
        <w:ind w:left="760" w:hanging="320"/>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Downstream Assessment Program (“DAP”)</w:t>
      </w:r>
    </w:p>
    <w:p>
      <w:pPr>
        <w:spacing w:after="0" w:line="278" w:lineRule="exact"/>
        <w:rPr>
          <w:rFonts w:ascii="Times New Roman" w:cs="Times New Roman" w:eastAsia="Times New Roman" w:hAnsi="Times New Roman"/>
          <w:sz w:val="18"/>
          <w:szCs w:val="18"/>
          <w:color w:val="auto"/>
        </w:rPr>
      </w:pPr>
    </w:p>
    <w:p>
      <w:pPr>
        <w:ind w:left="760" w:right="719"/>
        <w:spacing w:after="0" w:line="287"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November 2021, we received the RMI’s DAP recognition for 3TG, with a two-year validity, which validated our responsible minerals sourcing due diligence and practices. We were reassessed in November 2023 and revalidated beginning of 2025, which certification was valid until November 2025. The next assessment is scheduled to take place in the second quarter of 2026.</w:t>
      </w:r>
    </w:p>
    <w:p>
      <w:pPr>
        <w:spacing w:after="0" w:line="193" w:lineRule="exact"/>
        <w:rPr>
          <w:sz w:val="20"/>
          <w:szCs w:val="20"/>
          <w:color w:val="auto"/>
        </w:rPr>
      </w:pPr>
    </w:p>
    <w:p>
      <w:pPr>
        <w:ind w:left="760" w:right="519"/>
        <w:spacing w:after="0" w:line="318" w:lineRule="auto"/>
        <w:rPr>
          <w:sz w:val="20"/>
          <w:szCs w:val="20"/>
          <w:color w:val="auto"/>
        </w:rPr>
      </w:pPr>
      <w:r>
        <w:rPr>
          <w:rFonts w:ascii="Arial" w:cs="Arial" w:eastAsia="Arial" w:hAnsi="Arial"/>
          <w:sz w:val="18"/>
          <w:szCs w:val="18"/>
          <w:color w:val="auto"/>
        </w:rPr>
        <w:t>This international assessment organized by the RMI, offers independent third-party assurance for companies importing, amongst others, 3TG-containing products into the EU considering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002052"/>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0" w:right="539"/>
        <w:spacing w:after="0" w:line="292" w:lineRule="auto"/>
        <w:rPr>
          <w:sz w:val="20"/>
          <w:szCs w:val="20"/>
          <w:color w:val="auto"/>
        </w:rPr>
      </w:pPr>
      <w:r>
        <w:rPr>
          <w:rFonts w:ascii="Arial" w:cs="Arial" w:eastAsia="Arial" w:hAnsi="Arial"/>
          <w:sz w:val="18"/>
          <w:szCs w:val="18"/>
          <w:color w:val="auto"/>
        </w:rPr>
        <w:t>Regulation</w:t>
      </w:r>
      <w:r>
        <w:rPr>
          <w:rFonts w:ascii="Arial" w:cs="Arial" w:eastAsia="Arial" w:hAnsi="Arial"/>
          <w:sz w:val="14"/>
          <w:szCs w:val="14"/>
          <w:color w:val="auto"/>
        </w:rPr>
        <w:t>.</w:t>
      </w:r>
      <w:r>
        <w:rPr>
          <w:rFonts w:ascii="Arial" w:cs="Arial" w:eastAsia="Arial" w:hAnsi="Arial"/>
          <w:sz w:val="18"/>
          <w:szCs w:val="18"/>
          <w:color w:val="auto"/>
        </w:rPr>
        <w:t xml:space="preserve"> A further description of this assessment and the list of facilities that have completed it are accessible here: https://www.responsiblemineralsinitiative.org/responsible-minerals-assurance-process/downstream -program/.</w:t>
      </w:r>
    </w:p>
    <w:p>
      <w:pPr>
        <w:spacing w:after="0" w:line="203" w:lineRule="exact"/>
        <w:rPr>
          <w:sz w:val="20"/>
          <w:szCs w:val="20"/>
          <w:color w:val="auto"/>
        </w:rPr>
      </w:pPr>
    </w:p>
    <w:p>
      <w:pPr>
        <w:ind w:left="760" w:right="1039"/>
        <w:spacing w:after="0" w:line="318" w:lineRule="auto"/>
        <w:rPr>
          <w:sz w:val="20"/>
          <w:szCs w:val="20"/>
          <w:color w:val="auto"/>
        </w:rPr>
      </w:pPr>
      <w:r>
        <w:rPr>
          <w:rFonts w:ascii="Arial" w:cs="Arial" w:eastAsia="Arial" w:hAnsi="Arial"/>
          <w:sz w:val="18"/>
          <w:szCs w:val="18"/>
          <w:color w:val="auto"/>
        </w:rPr>
        <w:t>Furthermore, we encourage our suppliers, in scope of the RMI program to pass the DAP to validate their responsible minerals sourcing due diligence practices.</w:t>
      </w:r>
    </w:p>
    <w:p>
      <w:pPr>
        <w:spacing w:after="0" w:line="167" w:lineRule="exact"/>
        <w:rPr>
          <w:sz w:val="20"/>
          <w:szCs w:val="20"/>
          <w:color w:val="auto"/>
        </w:rPr>
      </w:pPr>
    </w:p>
    <w:p>
      <w:pPr>
        <w:ind w:left="760" w:right="3959" w:hanging="320"/>
        <w:spacing w:after="0" w:line="444" w:lineRule="auto"/>
        <w:tabs>
          <w:tab w:leader="none" w:pos="76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Conflict Minerals Reporting Template (“CMRT”) </w:t>
      </w:r>
      <w:r>
        <w:rPr>
          <w:rFonts w:ascii="Arial" w:cs="Arial" w:eastAsia="Arial" w:hAnsi="Arial"/>
          <w:sz w:val="17"/>
          <w:szCs w:val="17"/>
          <w:color w:val="auto"/>
        </w:rPr>
        <w:t>We require a CMRT from our suppliers in three cases:</w:t>
      </w:r>
    </w:p>
    <w:p>
      <w:pPr>
        <w:ind w:left="1080" w:hanging="316"/>
        <w:spacing w:after="0"/>
        <w:tabs>
          <w:tab w:leader="none" w:pos="1080" w:val="left"/>
        </w:tabs>
        <w:numPr>
          <w:ilvl w:val="1"/>
          <w:numId w:val="14"/>
        </w:numPr>
        <w:rPr>
          <w:rFonts w:ascii="Calibri" w:cs="Calibri" w:eastAsia="Calibri" w:hAnsi="Calibri"/>
          <w:sz w:val="18"/>
          <w:szCs w:val="18"/>
          <w:color w:val="auto"/>
        </w:rPr>
      </w:pPr>
      <w:r>
        <w:rPr>
          <w:rFonts w:ascii="Arial" w:cs="Arial" w:eastAsia="Arial" w:hAnsi="Arial"/>
          <w:sz w:val="18"/>
          <w:szCs w:val="18"/>
          <w:color w:val="auto"/>
        </w:rPr>
        <w:t>During our annual survey;</w:t>
      </w:r>
    </w:p>
    <w:p>
      <w:pPr>
        <w:spacing w:after="0" w:line="13" w:lineRule="exact"/>
        <w:rPr>
          <w:rFonts w:ascii="Calibri" w:cs="Calibri" w:eastAsia="Calibri" w:hAnsi="Calibri"/>
          <w:sz w:val="18"/>
          <w:szCs w:val="18"/>
          <w:color w:val="auto"/>
        </w:rPr>
      </w:pPr>
    </w:p>
    <w:p>
      <w:pPr>
        <w:ind w:left="1080" w:hanging="316"/>
        <w:spacing w:after="0"/>
        <w:tabs>
          <w:tab w:leader="none" w:pos="1080" w:val="left"/>
        </w:tabs>
        <w:numPr>
          <w:ilvl w:val="1"/>
          <w:numId w:val="14"/>
        </w:numPr>
        <w:rPr>
          <w:rFonts w:ascii="Calibri" w:cs="Calibri" w:eastAsia="Calibri" w:hAnsi="Calibri"/>
          <w:sz w:val="18"/>
          <w:szCs w:val="18"/>
          <w:color w:val="auto"/>
        </w:rPr>
      </w:pPr>
      <w:r>
        <w:rPr>
          <w:rFonts w:ascii="Arial" w:cs="Arial" w:eastAsia="Arial" w:hAnsi="Arial"/>
          <w:sz w:val="18"/>
          <w:szCs w:val="18"/>
          <w:color w:val="auto"/>
        </w:rPr>
        <w:t>When a smelter’s conformance status changes; and</w:t>
      </w:r>
    </w:p>
    <w:p>
      <w:pPr>
        <w:spacing w:after="0" w:line="23" w:lineRule="exact"/>
        <w:rPr>
          <w:rFonts w:ascii="Calibri" w:cs="Calibri" w:eastAsia="Calibri" w:hAnsi="Calibri"/>
          <w:sz w:val="18"/>
          <w:szCs w:val="18"/>
          <w:color w:val="auto"/>
        </w:rPr>
      </w:pPr>
    </w:p>
    <w:p>
      <w:pPr>
        <w:ind w:left="1080" w:hanging="316"/>
        <w:spacing w:after="0"/>
        <w:tabs>
          <w:tab w:leader="none" w:pos="1080" w:val="left"/>
        </w:tabs>
        <w:numPr>
          <w:ilvl w:val="1"/>
          <w:numId w:val="14"/>
        </w:numPr>
        <w:rPr>
          <w:rFonts w:ascii="Calibri" w:cs="Calibri" w:eastAsia="Calibri" w:hAnsi="Calibri"/>
          <w:sz w:val="18"/>
          <w:szCs w:val="18"/>
          <w:color w:val="auto"/>
        </w:rPr>
      </w:pPr>
      <w:r>
        <w:rPr>
          <w:rFonts w:ascii="Arial" w:cs="Arial" w:eastAsia="Arial" w:hAnsi="Arial"/>
          <w:sz w:val="18"/>
          <w:szCs w:val="18"/>
          <w:color w:val="auto"/>
        </w:rPr>
        <w:t>When their smelters list changes (in which case we require an updated CMRT).</w:t>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the “Responsible Minerals Statement”, we detail our requirements related to the CMRT.</w:t>
      </w:r>
    </w:p>
    <w:p>
      <w:pPr>
        <w:spacing w:after="0" w:line="279" w:lineRule="exact"/>
        <w:rPr>
          <w:sz w:val="20"/>
          <w:szCs w:val="20"/>
          <w:color w:val="auto"/>
        </w:rPr>
      </w:pPr>
    </w:p>
    <w:p>
      <w:pPr>
        <w:ind w:left="760" w:hanging="320"/>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Smelters Audit</w:t>
      </w:r>
    </w:p>
    <w:p>
      <w:pPr>
        <w:spacing w:after="0" w:line="264" w:lineRule="exact"/>
        <w:rPr>
          <w:rFonts w:ascii="Times New Roman" w:cs="Times New Roman" w:eastAsia="Times New Roman" w:hAnsi="Times New Roman"/>
          <w:sz w:val="18"/>
          <w:szCs w:val="18"/>
          <w:color w:val="auto"/>
        </w:rPr>
      </w:pPr>
    </w:p>
    <w:p>
      <w:pPr>
        <w:ind w:left="760" w:right="479"/>
        <w:spacing w:after="0" w:line="287" w:lineRule="auto"/>
        <w:rPr>
          <w:rFonts w:ascii="Times New Roman" w:cs="Times New Roman" w:eastAsia="Times New Roman" w:hAnsi="Times New Roman"/>
          <w:sz w:val="18"/>
          <w:szCs w:val="18"/>
          <w:color w:val="auto"/>
        </w:rPr>
      </w:pPr>
      <w:r>
        <w:rPr>
          <w:rFonts w:ascii="Arial" w:cs="Arial" w:eastAsia="Arial" w:hAnsi="Arial"/>
          <w:sz w:val="18"/>
          <w:szCs w:val="18"/>
          <w:color w:val="auto"/>
        </w:rPr>
        <w:t>As an RMI member, we benefit from third-party audits organized by the RMI, the LBMA and the RJC. During the Smelters Audit, OECD red flag identification and mitigation are assessed. The audit results are aggregated in a list maintained by the RMI named the RMAP list. We crosscheck our suppliers’ CMRT with the RMAP list to identify any non-conformant smelters. Furthermore, we periodically receive notification from the RMI to highlight a smelter’s conformance change.</w:t>
      </w:r>
    </w:p>
    <w:p>
      <w:pPr>
        <w:spacing w:after="0" w:line="206"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RMI Grievance portal</w:t>
      </w:r>
    </w:p>
    <w:p>
      <w:pPr>
        <w:sectPr>
          <w:pgSz w:w="11900" w:h="16838" w:orient="portrait"/>
          <w:cols w:equalWidth="0" w:num="1">
            <w:col w:w="9019"/>
          </w:cols>
          <w:pgMar w:left="1440" w:top="81" w:right="1440" w:bottom="0" w:gutter="0" w:footer="0" w:header="0"/>
        </w:sectPr>
      </w:pPr>
    </w:p>
    <w:bookmarkStart w:id="8" w:name="page9"/>
    <w:bookmarkEnd w:id="8"/>
    <w:p>
      <w:pPr>
        <w:ind w:left="760" w:right="559"/>
        <w:spacing w:after="0" w:line="254" w:lineRule="auto"/>
        <w:rPr>
          <w:sz w:val="20"/>
          <w:szCs w:val="20"/>
          <w:color w:val="auto"/>
        </w:rPr>
      </w:pPr>
      <w:r>
        <w:rPr>
          <w:rFonts w:ascii="Arial" w:cs="Arial" w:eastAsia="Arial" w:hAnsi="Arial"/>
          <w:sz w:val="17"/>
          <w:szCs w:val="17"/>
          <w:color w:val="auto"/>
        </w:rPr>
        <w:t>In our “Responsible Minerals Statement,” we encourage suppliers to initiate a grievance on the RMI portal, as referenced in Section 2.II. above, if they become aware of a violation of the OECD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459"/>
        <w:spacing w:after="0" w:line="328" w:lineRule="auto"/>
        <w:rPr>
          <w:sz w:val="20"/>
          <w:szCs w:val="20"/>
          <w:color w:val="auto"/>
        </w:rPr>
      </w:pPr>
      <w:r>
        <w:rPr>
          <w:rFonts w:ascii="Arial" w:cs="Arial" w:eastAsia="Arial" w:hAnsi="Arial"/>
          <w:sz w:val="18"/>
          <w:szCs w:val="18"/>
          <w:color w:val="auto"/>
        </w:rPr>
        <w:t xml:space="preserve">Guidance Annex II or other critical risk </w:t>
      </w:r>
      <w:r>
        <w:rPr>
          <w:rFonts w:ascii="Arial" w:cs="Arial" w:eastAsia="Arial" w:hAnsi="Arial"/>
          <w:sz w:val="19"/>
          <w:szCs w:val="19"/>
          <w:color w:val="auto"/>
        </w:rPr>
        <w:t>(https://www.responsiblemineralsinitiative.org/</w:t>
      </w:r>
      <w:r>
        <w:rPr>
          <w:rFonts w:ascii="Arial" w:cs="Arial" w:eastAsia="Arial" w:hAnsi="Arial"/>
          <w:sz w:val="18"/>
          <w:szCs w:val="18"/>
          <w:color w:val="auto"/>
        </w:rPr>
        <w:t xml:space="preserve"> </w:t>
      </w:r>
      <w:r>
        <w:rPr>
          <w:rFonts w:ascii="Arial" w:cs="Arial" w:eastAsia="Arial" w:hAnsi="Arial"/>
          <w:sz w:val="19"/>
          <w:szCs w:val="19"/>
          <w:color w:val="auto"/>
        </w:rPr>
        <w:t>minerals-due-diligence-container/risk-management/rmi-grievance-mechanism/</w:t>
      </w:r>
      <w:r>
        <w:rPr>
          <w:rFonts w:ascii="Arial" w:cs="Arial" w:eastAsia="Arial" w:hAnsi="Arial"/>
          <w:sz w:val="17"/>
          <w:szCs w:val="17"/>
          <w:color w:val="auto"/>
        </w:rPr>
        <w:t>).</w:t>
      </w:r>
    </w:p>
    <w:p>
      <w:pPr>
        <w:spacing w:after="0" w:line="162" w:lineRule="exact"/>
        <w:rPr>
          <w:sz w:val="20"/>
          <w:szCs w:val="20"/>
          <w:color w:val="auto"/>
        </w:rPr>
      </w:pPr>
    </w:p>
    <w:p>
      <w:pPr>
        <w:ind w:left="760" w:hanging="320"/>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ST Grievance portal</w:t>
      </w:r>
    </w:p>
    <w:p>
      <w:pPr>
        <w:spacing w:after="0" w:line="278" w:lineRule="exact"/>
        <w:rPr>
          <w:rFonts w:ascii="Times New Roman" w:cs="Times New Roman" w:eastAsia="Times New Roman" w:hAnsi="Times New Roman"/>
          <w:sz w:val="18"/>
          <w:szCs w:val="18"/>
          <w:color w:val="auto"/>
        </w:rPr>
      </w:pPr>
    </w:p>
    <w:p>
      <w:pPr>
        <w:ind w:left="760" w:right="519"/>
        <w:spacing w:after="0" w:line="292" w:lineRule="auto"/>
        <w:rPr>
          <w:rFonts w:ascii="Times New Roman" w:cs="Times New Roman" w:eastAsia="Times New Roman" w:hAnsi="Times New Roman"/>
          <w:sz w:val="18"/>
          <w:szCs w:val="18"/>
          <w:color w:val="auto"/>
        </w:rPr>
      </w:pPr>
      <w:r>
        <w:rPr>
          <w:rFonts w:ascii="Arial" w:cs="Arial" w:eastAsia="Arial" w:hAnsi="Arial"/>
          <w:sz w:val="18"/>
          <w:szCs w:val="18"/>
          <w:color w:val="auto"/>
        </w:rPr>
        <w:t>Anyone can issue a grievance related to ST via our “Ethics Hotline”, as referenced in Section 2.II. above, which is operated by a third-party in order to guarantee an independent and objective process.</w:t>
      </w:r>
    </w:p>
    <w:p>
      <w:pPr>
        <w:spacing w:after="0" w:line="203"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RCOI List</w:t>
      </w:r>
    </w:p>
    <w:p>
      <w:pPr>
        <w:spacing w:after="0" w:line="264" w:lineRule="exact"/>
        <w:rPr>
          <w:rFonts w:ascii="Times New Roman" w:cs="Times New Roman" w:eastAsia="Times New Roman" w:hAnsi="Times New Roman"/>
          <w:sz w:val="18"/>
          <w:szCs w:val="18"/>
          <w:color w:val="auto"/>
        </w:rPr>
      </w:pPr>
    </w:p>
    <w:p>
      <w:pPr>
        <w:ind w:left="760" w:right="579"/>
        <w:spacing w:after="0" w:line="300" w:lineRule="auto"/>
        <w:rPr>
          <w:rFonts w:ascii="Times New Roman" w:cs="Times New Roman" w:eastAsia="Times New Roman" w:hAnsi="Times New Roman"/>
          <w:sz w:val="18"/>
          <w:szCs w:val="18"/>
          <w:color w:val="auto"/>
        </w:rPr>
      </w:pPr>
      <w:r>
        <w:rPr>
          <w:rFonts w:ascii="Arial" w:cs="Arial" w:eastAsia="Arial" w:hAnsi="Arial"/>
          <w:sz w:val="18"/>
          <w:szCs w:val="18"/>
          <w:color w:val="auto"/>
        </w:rPr>
        <w:t>We use the RCOI list to identify the countries of origin of the minerals and the related risk classification. The RCOI list allows us to identify Red Flags associated to CAHRAs (including the Democratic Republic of the Congo and adjoining countries).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CMRT inquiry responses 2025</w:t>
      </w:r>
    </w:p>
    <w:p>
      <w:pPr>
        <w:spacing w:after="0" w:line="277" w:lineRule="exact"/>
        <w:rPr>
          <w:sz w:val="20"/>
          <w:szCs w:val="20"/>
          <w:color w:val="auto"/>
        </w:rPr>
      </w:pPr>
    </w:p>
    <w:p>
      <w:pPr>
        <w:ind w:left="440" w:right="559"/>
        <w:spacing w:after="0" w:line="288" w:lineRule="auto"/>
        <w:rPr>
          <w:sz w:val="20"/>
          <w:szCs w:val="20"/>
          <w:color w:val="auto"/>
        </w:rPr>
      </w:pPr>
      <w:r>
        <w:rPr>
          <w:rFonts w:ascii="Arial" w:cs="Arial" w:eastAsia="Arial" w:hAnsi="Arial"/>
          <w:sz w:val="18"/>
          <w:szCs w:val="18"/>
          <w:color w:val="auto"/>
        </w:rPr>
        <w:t>We conducted an inquiry, using the CMRT, with all the suppliers and subcontractors which we identified within our conflict mineral supply chain. All such suppliers and subcontractors responded to our due diligence inquiry. The below table shows the supplier responses and completion rate since 2017 as of December 31 of each year: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40" w:type="dxa"/>
        <w:tblCellMar>
          <w:top w:w="0" w:type="dxa"/>
          <w:left w:w="0" w:type="dxa"/>
          <w:bottom w:w="0" w:type="dxa"/>
          <w:right w:w="0" w:type="dxa"/>
        </w:tblCellMar>
      </w:tblPr>
      <w:tr>
        <w:trPr>
          <w:trHeight w:val="253"/>
        </w:trPr>
        <w:tc>
          <w:tcPr>
            <w:tcW w:w="2000" w:type="dxa"/>
            <w:vAlign w:val="bottom"/>
            <w:shd w:val="clear" w:color="auto" w:fill="03234B"/>
          </w:tcPr>
          <w:p>
            <w:pPr>
              <w:ind w:left="120"/>
              <w:spacing w:after="0"/>
              <w:rPr>
                <w:sz w:val="20"/>
                <w:szCs w:val="20"/>
                <w:color w:val="auto"/>
              </w:rPr>
            </w:pPr>
            <w:r>
              <w:rPr>
                <w:rFonts w:ascii="Arial" w:cs="Arial" w:eastAsia="Arial" w:hAnsi="Arial"/>
                <w:sz w:val="18"/>
                <w:szCs w:val="18"/>
                <w:b w:val="1"/>
                <w:bCs w:val="1"/>
                <w:i w:val="1"/>
                <w:iCs w:val="1"/>
                <w:color w:val="FFFFFF"/>
              </w:rPr>
              <w:t>CMRT inquiry</w:t>
            </w:r>
          </w:p>
        </w:tc>
        <w:tc>
          <w:tcPr>
            <w:tcW w:w="70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2025</w:t>
            </w:r>
          </w:p>
        </w:tc>
        <w:tc>
          <w:tcPr>
            <w:tcW w:w="100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2024</w:t>
            </w:r>
          </w:p>
        </w:tc>
        <w:tc>
          <w:tcPr>
            <w:tcW w:w="64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2023</w:t>
            </w:r>
          </w:p>
        </w:tc>
        <w:tc>
          <w:tcPr>
            <w:tcW w:w="64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2022</w:t>
            </w:r>
          </w:p>
        </w:tc>
        <w:tc>
          <w:tcPr>
            <w:tcW w:w="62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2021</w:t>
            </w:r>
          </w:p>
        </w:tc>
        <w:tc>
          <w:tcPr>
            <w:tcW w:w="64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2020</w:t>
            </w:r>
          </w:p>
        </w:tc>
        <w:tc>
          <w:tcPr>
            <w:tcW w:w="68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2019</w:t>
            </w:r>
          </w:p>
        </w:tc>
        <w:tc>
          <w:tcPr>
            <w:tcW w:w="64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2018</w:t>
            </w:r>
          </w:p>
        </w:tc>
        <w:tc>
          <w:tcPr>
            <w:tcW w:w="620" w:type="dxa"/>
            <w:vAlign w:val="bottom"/>
            <w:tcBorders>
              <w:right w:val="single" w:sz="8" w:color="03234B"/>
            </w:tcBorders>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2017</w:t>
            </w:r>
          </w:p>
        </w:tc>
        <w:tc>
          <w:tcPr>
            <w:tcW w:w="0" w:type="dxa"/>
            <w:vAlign w:val="bottom"/>
          </w:tcPr>
          <w:p>
            <w:pPr>
              <w:spacing w:after="0"/>
              <w:rPr>
                <w:sz w:val="1"/>
                <w:szCs w:val="1"/>
                <w:color w:val="auto"/>
              </w:rPr>
            </w:pPr>
          </w:p>
        </w:tc>
      </w:tr>
      <w:tr>
        <w:trPr>
          <w:trHeight w:val="233"/>
        </w:trPr>
        <w:tc>
          <w:tcPr>
            <w:tcW w:w="2000" w:type="dxa"/>
            <w:vAlign w:val="bottom"/>
            <w:tcBorders>
              <w:bottom w:val="single" w:sz="8" w:color="auto"/>
            </w:tcBorders>
            <w:shd w:val="clear" w:color="auto" w:fill="03234B"/>
          </w:tcPr>
          <w:p>
            <w:pPr>
              <w:ind w:left="120"/>
              <w:spacing w:after="0"/>
              <w:rPr>
                <w:sz w:val="20"/>
                <w:szCs w:val="20"/>
                <w:color w:val="auto"/>
              </w:rPr>
            </w:pPr>
            <w:r>
              <w:rPr>
                <w:rFonts w:ascii="Arial" w:cs="Arial" w:eastAsia="Arial" w:hAnsi="Arial"/>
                <w:sz w:val="18"/>
                <w:szCs w:val="18"/>
                <w:b w:val="1"/>
                <w:bCs w:val="1"/>
                <w:i w:val="1"/>
                <w:iCs w:val="1"/>
                <w:color w:val="FFFFFF"/>
              </w:rPr>
              <w:t>responses 2025</w:t>
            </w:r>
          </w:p>
        </w:tc>
        <w:tc>
          <w:tcPr>
            <w:tcW w:w="700" w:type="dxa"/>
            <w:vAlign w:val="bottom"/>
            <w:tcBorders>
              <w:bottom w:val="single" w:sz="8" w:color="auto"/>
              <w:right w:val="single" w:sz="8" w:color="03234B"/>
            </w:tcBorders>
            <w:shd w:val="clear" w:color="auto" w:fill="03234B"/>
          </w:tcPr>
          <w:p>
            <w:pPr>
              <w:spacing w:after="0"/>
              <w:rPr>
                <w:sz w:val="20"/>
                <w:szCs w:val="20"/>
                <w:color w:val="auto"/>
              </w:rPr>
            </w:pPr>
          </w:p>
        </w:tc>
        <w:tc>
          <w:tcPr>
            <w:tcW w:w="1000" w:type="dxa"/>
            <w:vAlign w:val="bottom"/>
            <w:tcBorders>
              <w:bottom w:val="single" w:sz="8" w:color="auto"/>
              <w:right w:val="single" w:sz="8" w:color="03234B"/>
            </w:tcBorders>
            <w:shd w:val="clear" w:color="auto" w:fill="03234B"/>
          </w:tcPr>
          <w:p>
            <w:pPr>
              <w:spacing w:after="0"/>
              <w:rPr>
                <w:sz w:val="20"/>
                <w:szCs w:val="20"/>
                <w:color w:val="auto"/>
              </w:rPr>
            </w:pPr>
          </w:p>
        </w:tc>
        <w:tc>
          <w:tcPr>
            <w:tcW w:w="640" w:type="dxa"/>
            <w:vAlign w:val="bottom"/>
            <w:tcBorders>
              <w:bottom w:val="single" w:sz="8" w:color="auto"/>
              <w:right w:val="single" w:sz="8" w:color="03234B"/>
            </w:tcBorders>
            <w:shd w:val="clear" w:color="auto" w:fill="03234B"/>
          </w:tcPr>
          <w:p>
            <w:pPr>
              <w:spacing w:after="0"/>
              <w:rPr>
                <w:sz w:val="20"/>
                <w:szCs w:val="20"/>
                <w:color w:val="auto"/>
              </w:rPr>
            </w:pPr>
          </w:p>
        </w:tc>
        <w:tc>
          <w:tcPr>
            <w:tcW w:w="640" w:type="dxa"/>
            <w:vAlign w:val="bottom"/>
            <w:tcBorders>
              <w:bottom w:val="single" w:sz="8" w:color="auto"/>
              <w:right w:val="single" w:sz="8" w:color="03234B"/>
            </w:tcBorders>
            <w:shd w:val="clear" w:color="auto" w:fill="03234B"/>
          </w:tcPr>
          <w:p>
            <w:pPr>
              <w:spacing w:after="0"/>
              <w:rPr>
                <w:sz w:val="20"/>
                <w:szCs w:val="20"/>
                <w:color w:val="auto"/>
              </w:rPr>
            </w:pPr>
          </w:p>
        </w:tc>
        <w:tc>
          <w:tcPr>
            <w:tcW w:w="620" w:type="dxa"/>
            <w:vAlign w:val="bottom"/>
            <w:tcBorders>
              <w:bottom w:val="single" w:sz="8" w:color="auto"/>
              <w:right w:val="single" w:sz="8" w:color="03234B"/>
            </w:tcBorders>
            <w:shd w:val="clear" w:color="auto" w:fill="03234B"/>
          </w:tcPr>
          <w:p>
            <w:pPr>
              <w:spacing w:after="0"/>
              <w:rPr>
                <w:sz w:val="20"/>
                <w:szCs w:val="20"/>
                <w:color w:val="auto"/>
              </w:rPr>
            </w:pPr>
          </w:p>
        </w:tc>
        <w:tc>
          <w:tcPr>
            <w:tcW w:w="640" w:type="dxa"/>
            <w:vAlign w:val="bottom"/>
            <w:tcBorders>
              <w:bottom w:val="single" w:sz="8" w:color="auto"/>
              <w:right w:val="single" w:sz="8" w:color="03234B"/>
            </w:tcBorders>
            <w:shd w:val="clear" w:color="auto" w:fill="03234B"/>
          </w:tcPr>
          <w:p>
            <w:pPr>
              <w:spacing w:after="0"/>
              <w:rPr>
                <w:sz w:val="20"/>
                <w:szCs w:val="20"/>
                <w:color w:val="auto"/>
              </w:rPr>
            </w:pPr>
          </w:p>
        </w:tc>
        <w:tc>
          <w:tcPr>
            <w:tcW w:w="680" w:type="dxa"/>
            <w:vAlign w:val="bottom"/>
            <w:tcBorders>
              <w:bottom w:val="single" w:sz="8" w:color="auto"/>
              <w:right w:val="single" w:sz="8" w:color="03234B"/>
            </w:tcBorders>
            <w:shd w:val="clear" w:color="auto" w:fill="03234B"/>
          </w:tcPr>
          <w:p>
            <w:pPr>
              <w:spacing w:after="0"/>
              <w:rPr>
                <w:sz w:val="20"/>
                <w:szCs w:val="20"/>
                <w:color w:val="auto"/>
              </w:rPr>
            </w:pPr>
          </w:p>
        </w:tc>
        <w:tc>
          <w:tcPr>
            <w:tcW w:w="640" w:type="dxa"/>
            <w:vAlign w:val="bottom"/>
            <w:tcBorders>
              <w:bottom w:val="single" w:sz="8" w:color="auto"/>
              <w:right w:val="single" w:sz="8" w:color="03234B"/>
            </w:tcBorders>
            <w:shd w:val="clear" w:color="auto" w:fill="03234B"/>
          </w:tcPr>
          <w:p>
            <w:pPr>
              <w:spacing w:after="0"/>
              <w:rPr>
                <w:sz w:val="20"/>
                <w:szCs w:val="20"/>
                <w:color w:val="auto"/>
              </w:rPr>
            </w:pPr>
          </w:p>
        </w:tc>
        <w:tc>
          <w:tcPr>
            <w:tcW w:w="620" w:type="dxa"/>
            <w:vAlign w:val="bottom"/>
            <w:tcBorders>
              <w:bottom w:val="single" w:sz="8" w:color="auto"/>
              <w:right w:val="single" w:sz="8" w:color="03234B"/>
            </w:tcBorders>
            <w:shd w:val="clear" w:color="auto" w:fill="03234B"/>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00" w:type="dxa"/>
            <w:vAlign w:val="bottom"/>
            <w:shd w:val="clear" w:color="auto" w:fill="03234B"/>
          </w:tcPr>
          <w:p>
            <w:pPr>
              <w:jc w:val="center"/>
              <w:spacing w:after="0" w:line="204" w:lineRule="exact"/>
              <w:rPr>
                <w:sz w:val="20"/>
                <w:szCs w:val="20"/>
                <w:color w:val="auto"/>
              </w:rPr>
            </w:pPr>
            <w:r>
              <w:rPr>
                <w:rFonts w:ascii="Arial" w:cs="Arial" w:eastAsia="Arial" w:hAnsi="Arial"/>
                <w:sz w:val="18"/>
                <w:szCs w:val="18"/>
                <w:b w:val="1"/>
                <w:bCs w:val="1"/>
                <w:color w:val="FFFFFF"/>
                <w:w w:val="99"/>
              </w:rPr>
              <w:t>Supplier Template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6"/>
        </w:trPr>
        <w:tc>
          <w:tcPr>
            <w:tcW w:w="2000" w:type="dxa"/>
            <w:vAlign w:val="bottom"/>
            <w:tcBorders>
              <w:bottom w:val="single" w:sz="8" w:color="03234B"/>
            </w:tcBorders>
            <w:vMerge w:val="restart"/>
            <w:shd w:val="clear" w:color="auto" w:fill="03234B"/>
          </w:tcPr>
          <w:p>
            <w:pPr>
              <w:jc w:val="center"/>
              <w:spacing w:after="0"/>
              <w:rPr>
                <w:sz w:val="20"/>
                <w:szCs w:val="20"/>
                <w:color w:val="auto"/>
              </w:rPr>
            </w:pPr>
            <w:r>
              <w:rPr>
                <w:rFonts w:ascii="Arial" w:cs="Arial" w:eastAsia="Arial" w:hAnsi="Arial"/>
                <w:sz w:val="18"/>
                <w:szCs w:val="18"/>
                <w:b w:val="1"/>
                <w:bCs w:val="1"/>
                <w:color w:val="FFFFFF"/>
                <w:w w:val="99"/>
              </w:rPr>
              <w:t>Completion Rate</w:t>
            </w:r>
          </w:p>
        </w:tc>
        <w:tc>
          <w:tcPr>
            <w:tcW w:w="7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00" w:type="dxa"/>
            <w:vAlign w:val="bottom"/>
            <w:vMerge w:val="continue"/>
            <w:shd w:val="clear" w:color="auto" w:fill="03234B"/>
          </w:tcPr>
          <w:p>
            <w:pPr>
              <w:spacing w:after="0"/>
              <w:rPr>
                <w:sz w:val="18"/>
                <w:szCs w:val="18"/>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128</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154</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137</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124</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128</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126</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440" w:right="1079"/>
        <w:spacing w:after="0" w:line="300" w:lineRule="auto"/>
        <w:rPr>
          <w:sz w:val="20"/>
          <w:szCs w:val="20"/>
          <w:color w:val="auto"/>
        </w:rPr>
      </w:pPr>
      <w:r>
        <w:rPr>
          <w:rFonts w:ascii="Arial" w:cs="Arial" w:eastAsia="Arial" w:hAnsi="Arial"/>
          <w:sz w:val="18"/>
          <w:szCs w:val="18"/>
          <w:color w:val="auto"/>
        </w:rPr>
        <w:t>We reviewed the responses received against criteria developed to determine which responses required further engagement with our suppliers. These criteria included untimely or incomplete responses as well as inconsistencies within the data reported in the CMRT.</w:t>
      </w:r>
    </w:p>
    <w:p>
      <w:pPr>
        <w:spacing w:after="0" w:line="182" w:lineRule="exact"/>
        <w:rPr>
          <w:sz w:val="20"/>
          <w:szCs w:val="20"/>
          <w:color w:val="auto"/>
        </w:rPr>
      </w:pPr>
    </w:p>
    <w:p>
      <w:pPr>
        <w:ind w:left="440" w:right="559"/>
        <w:spacing w:after="0" w:line="282" w:lineRule="auto"/>
        <w:rPr>
          <w:sz w:val="20"/>
          <w:szCs w:val="20"/>
          <w:color w:val="auto"/>
        </w:rPr>
      </w:pPr>
      <w:r>
        <w:rPr>
          <w:rFonts w:ascii="Arial" w:cs="Arial" w:eastAsia="Arial" w:hAnsi="Arial"/>
          <w:sz w:val="18"/>
          <w:szCs w:val="18"/>
          <w:color w:val="auto"/>
        </w:rPr>
        <w:t xml:space="preserve">We rely on the good faith efforts of our suppliers and subcontractors to provide us with reasonable representations of the processing facilities used to supply the necessary conflict minerals in our products. As a result of our inquiry via the CMRT, our suppliers and subcontractors reported to us a total of 240 smelters as sources of 3TG during the 2025 calendar year, 28 of which we had discontinued as sources as of December 31, 2025, of which 27 were discontinued due to not being RMAP conformant as of December 31, 2025, as reflected in </w:t>
      </w:r>
      <w:r>
        <w:rPr>
          <w:rFonts w:ascii="Arial" w:cs="Arial" w:eastAsia="Arial" w:hAnsi="Arial"/>
          <w:sz w:val="18"/>
          <w:szCs w:val="18"/>
          <w:u w:val="single" w:color="auto"/>
          <w:color w:val="auto"/>
        </w:rPr>
        <w:t>Table 2</w:t>
      </w:r>
      <w:r>
        <w:rPr>
          <w:rFonts w:ascii="Arial" w:cs="Arial" w:eastAsia="Arial" w:hAnsi="Arial"/>
          <w:sz w:val="18"/>
          <w:szCs w:val="18"/>
          <w:color w:val="auto"/>
        </w:rPr>
        <w:t xml:space="preserve"> in section IV below, while the other smelter, although RMAP conformant as of December 31, 2025, was discontinued due to business considerations.</w:t>
      </w:r>
    </w:p>
    <w:p>
      <w:pPr>
        <w:spacing w:after="0" w:line="214" w:lineRule="exact"/>
        <w:rPr>
          <w:sz w:val="20"/>
          <w:szCs w:val="20"/>
          <w:color w:val="auto"/>
        </w:rPr>
      </w:pPr>
    </w:p>
    <w:p>
      <w:pPr>
        <w:ind w:left="440" w:right="599"/>
        <w:spacing w:after="0" w:line="280" w:lineRule="auto"/>
        <w:rPr>
          <w:sz w:val="20"/>
          <w:szCs w:val="20"/>
          <w:color w:val="auto"/>
        </w:rPr>
      </w:pPr>
      <w:r>
        <w:rPr>
          <w:rFonts w:ascii="Arial" w:cs="Arial" w:eastAsia="Arial" w:hAnsi="Arial"/>
          <w:sz w:val="18"/>
          <w:szCs w:val="18"/>
          <w:color w:val="auto"/>
        </w:rPr>
        <w:t>The table below indicates the CMRT inquiry responses as of December 31 of each of the relevant years, indicating per metal: (i) the number of smelters declared; (ii) the percentage of declared smelters which were RMAP conformant; (iii) the percentage of declared active smelters. Information relating to RMAP conformant smelters is extracted from the RBA/RMI database. The information presented in the below table represents the state of affairs as of December 31 of each relevant year but should not be interpreted as necessarily having applied consistently throughout the entire calendar year. Although we have received, and regularly continue to receive, updates to the RMAP conformance information presented in this table, we have presented it as of December 31 of each relevant year. Information on the smelters that we discontinued as sources during the calendar year, but before December 31, of each of the years 2017-2024 can be found in our conflict minerals report filed with the SEC as an exhibit to Form SD for that relevant year.</w:t>
      </w:r>
    </w:p>
    <w:p>
      <w:pPr>
        <w:sectPr>
          <w:pgSz w:w="11900" w:h="16838" w:orient="portrait"/>
          <w:cols w:equalWidth="0" w:num="1">
            <w:col w:w="9019"/>
          </w:cols>
          <w:pgMar w:left="1440" w:top="81" w:right="1440" w:bottom="37" w:gutter="0" w:footer="0" w:header="0"/>
        </w:sectPr>
      </w:pPr>
    </w:p>
    <w:bookmarkStart w:id="9" w:name="page10"/>
    <w:bookmarkEnd w:id="9"/>
    <w:tbl>
      <w:tblPr>
        <w:tblLayout w:type="fixed"/>
        <w:tblInd w:w="440" w:type="dxa"/>
        <w:tblCellMar>
          <w:top w:w="0" w:type="dxa"/>
          <w:left w:w="0" w:type="dxa"/>
          <w:bottom w:w="0" w:type="dxa"/>
          <w:right w:w="0" w:type="dxa"/>
        </w:tblCellMar>
      </w:tblPr>
      <w:tr>
        <w:trPr>
          <w:trHeight w:val="265"/>
        </w:trPr>
        <w:tc>
          <w:tcPr>
            <w:tcW w:w="1000" w:type="dxa"/>
            <w:vAlign w:val="bottom"/>
            <w:shd w:val="clear" w:color="auto" w:fill="03234B"/>
          </w:tcPr>
          <w:p>
            <w:pPr>
              <w:jc w:val="right"/>
              <w:ind w:right="410"/>
              <w:spacing w:after="0"/>
              <w:rPr>
                <w:sz w:val="20"/>
                <w:szCs w:val="20"/>
                <w:color w:val="auto"/>
              </w:rPr>
            </w:pPr>
            <w:r>
              <w:rPr>
                <w:rFonts w:ascii="Arial" w:cs="Arial" w:eastAsia="Arial" w:hAnsi="Arial"/>
                <w:sz w:val="18"/>
                <w:szCs w:val="18"/>
                <w:b w:val="1"/>
                <w:bCs w:val="1"/>
                <w:color w:val="FFFFFF"/>
              </w:rPr>
              <w:t>Year</w:t>
            </w:r>
          </w:p>
        </w:tc>
        <w:tc>
          <w:tcPr>
            <w:tcW w:w="1300" w:type="dxa"/>
            <w:vAlign w:val="bottom"/>
            <w:tcBorders>
              <w:left w:val="single" w:sz="8" w:color="03234B"/>
              <w:right w:val="single" w:sz="8" w:color="03234B"/>
            </w:tcBorders>
            <w:shd w:val="clear" w:color="auto" w:fill="03234B"/>
          </w:tcPr>
          <w:p>
            <w:pPr>
              <w:ind w:left="100"/>
              <w:spacing w:after="0"/>
              <w:rPr>
                <w:sz w:val="20"/>
                <w:szCs w:val="20"/>
                <w:color w:val="auto"/>
              </w:rPr>
            </w:pPr>
            <w:r>
              <w:rPr>
                <w:rFonts w:ascii="Arial" w:cs="Arial" w:eastAsia="Arial" w:hAnsi="Arial"/>
                <w:sz w:val="18"/>
                <w:szCs w:val="18"/>
                <w:b w:val="1"/>
                <w:bCs w:val="1"/>
                <w:color w:val="FFFFFF"/>
              </w:rPr>
              <w:t>Metal</w:t>
            </w:r>
          </w:p>
        </w:tc>
        <w:tc>
          <w:tcPr>
            <w:tcW w:w="1860" w:type="dxa"/>
            <w:vAlign w:val="bottom"/>
            <w:tcBorders>
              <w:right w:val="single" w:sz="8" w:color="03234B"/>
            </w:tcBorders>
            <w:shd w:val="clear" w:color="auto" w:fill="03234B"/>
          </w:tcPr>
          <w:p>
            <w:pPr>
              <w:jc w:val="right"/>
              <w:ind w:right="18"/>
              <w:spacing w:after="0"/>
              <w:rPr>
                <w:sz w:val="20"/>
                <w:szCs w:val="20"/>
                <w:color w:val="auto"/>
              </w:rPr>
            </w:pPr>
            <w:r>
              <w:rPr>
                <w:rFonts w:ascii="Arial" w:cs="Arial" w:eastAsia="Arial" w:hAnsi="Arial"/>
                <w:sz w:val="18"/>
                <w:szCs w:val="18"/>
                <w:b w:val="1"/>
                <w:bCs w:val="1"/>
                <w:color w:val="FFFFFF"/>
              </w:rPr>
              <w:t>Number of smelters</w:t>
            </w: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Percentage of smelters</w:t>
            </w:r>
          </w:p>
        </w:tc>
        <w:tc>
          <w:tcPr>
            <w:tcW w:w="208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Percentage of active</w:t>
            </w:r>
          </w:p>
        </w:tc>
        <w:tc>
          <w:tcPr>
            <w:tcW w:w="0" w:type="dxa"/>
            <w:vAlign w:val="bottom"/>
          </w:tcPr>
          <w:p>
            <w:pPr>
              <w:spacing w:after="0"/>
              <w:rPr>
                <w:sz w:val="1"/>
                <w:szCs w:val="1"/>
                <w:color w:val="auto"/>
              </w:rPr>
            </w:pPr>
          </w:p>
        </w:tc>
      </w:tr>
      <w:tr>
        <w:trPr>
          <w:trHeight w:val="230"/>
        </w:trPr>
        <w:tc>
          <w:tcPr>
            <w:tcW w:w="1000" w:type="dxa"/>
            <w:vAlign w:val="bottom"/>
            <w:shd w:val="clear" w:color="auto" w:fill="03234B"/>
          </w:tcPr>
          <w:p>
            <w:pPr>
              <w:spacing w:after="0"/>
              <w:rPr>
                <w:sz w:val="19"/>
                <w:szCs w:val="19"/>
                <w:color w:val="auto"/>
              </w:rPr>
            </w:pPr>
          </w:p>
        </w:tc>
        <w:tc>
          <w:tcPr>
            <w:tcW w:w="1300" w:type="dxa"/>
            <w:vAlign w:val="bottom"/>
            <w:tcBorders>
              <w:left w:val="single" w:sz="8" w:color="03234B"/>
              <w:right w:val="single" w:sz="8" w:color="03234B"/>
            </w:tcBorders>
            <w:shd w:val="clear" w:color="auto" w:fill="03234B"/>
          </w:tcPr>
          <w:p>
            <w:pPr>
              <w:spacing w:after="0"/>
              <w:rPr>
                <w:sz w:val="19"/>
                <w:szCs w:val="19"/>
                <w:color w:val="auto"/>
              </w:rPr>
            </w:pPr>
          </w:p>
        </w:tc>
        <w:tc>
          <w:tcPr>
            <w:tcW w:w="1860" w:type="dxa"/>
            <w:vAlign w:val="bottom"/>
            <w:tcBorders>
              <w:right w:val="single" w:sz="8" w:color="03234B"/>
            </w:tcBorders>
            <w:shd w:val="clear" w:color="auto" w:fill="03234B"/>
          </w:tcPr>
          <w:p>
            <w:pPr>
              <w:jc w:val="right"/>
              <w:ind w:right="958"/>
              <w:spacing w:after="0"/>
              <w:rPr>
                <w:sz w:val="20"/>
                <w:szCs w:val="20"/>
                <w:color w:val="auto"/>
              </w:rPr>
            </w:pPr>
            <w:r>
              <w:rPr>
                <w:rFonts w:ascii="Arial" w:cs="Arial" w:eastAsia="Arial" w:hAnsi="Arial"/>
                <w:sz w:val="18"/>
                <w:szCs w:val="18"/>
                <w:b w:val="1"/>
                <w:bCs w:val="1"/>
                <w:color w:val="FFFFFF"/>
              </w:rPr>
              <w:t>declared</w:t>
            </w: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RMAP conformant</w:t>
            </w:r>
          </w:p>
        </w:tc>
        <w:tc>
          <w:tcPr>
            <w:tcW w:w="208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smelters declared</w:t>
            </w:r>
          </w:p>
        </w:tc>
        <w:tc>
          <w:tcPr>
            <w:tcW w:w="0" w:type="dxa"/>
            <w:vAlign w:val="bottom"/>
          </w:tcPr>
          <w:p>
            <w:pPr>
              <w:spacing w:after="0"/>
              <w:rPr>
                <w:sz w:val="1"/>
                <w:szCs w:val="1"/>
                <w:color w:val="auto"/>
              </w:rPr>
            </w:pPr>
          </w:p>
        </w:tc>
      </w:tr>
      <w:tr>
        <w:trPr>
          <w:trHeight w:val="207"/>
        </w:trPr>
        <w:tc>
          <w:tcPr>
            <w:tcW w:w="1000" w:type="dxa"/>
            <w:vAlign w:val="bottom"/>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2025</w:t>
            </w:r>
          </w:p>
        </w:tc>
        <w:tc>
          <w:tcPr>
            <w:tcW w:w="1300" w:type="dxa"/>
            <w:vAlign w:val="bottom"/>
            <w:tcBorders>
              <w:left w:val="single" w:sz="8" w:color="03234B"/>
              <w:right w:val="single" w:sz="8" w:color="03234B"/>
            </w:tcBorders>
            <w:shd w:val="clear" w:color="auto" w:fill="03234B"/>
          </w:tcPr>
          <w:p>
            <w:pPr>
              <w:spacing w:after="0"/>
              <w:rPr>
                <w:sz w:val="18"/>
                <w:szCs w:val="18"/>
                <w:color w:val="auto"/>
              </w:rPr>
            </w:pPr>
          </w:p>
        </w:tc>
        <w:tc>
          <w:tcPr>
            <w:tcW w:w="1860" w:type="dxa"/>
            <w:vAlign w:val="bottom"/>
            <w:tcBorders>
              <w:right w:val="single" w:sz="8" w:color="03234B"/>
            </w:tcBorders>
            <w:shd w:val="clear" w:color="auto" w:fill="03234B"/>
          </w:tcPr>
          <w:p>
            <w:pPr>
              <w:spacing w:after="0"/>
              <w:rPr>
                <w:sz w:val="18"/>
                <w:szCs w:val="18"/>
                <w:color w:val="auto"/>
              </w:rPr>
            </w:pP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declared</w:t>
            </w:r>
          </w:p>
        </w:tc>
        <w:tc>
          <w:tcPr>
            <w:tcW w:w="2080" w:type="dxa"/>
            <w:vAlign w:val="bottom"/>
            <w:tcBorders>
              <w:right w:val="single" w:sz="8" w:color="03234B"/>
            </w:tcBorders>
            <w:shd w:val="clear" w:color="auto" w:fill="03234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03234B"/>
            </w:tcBorders>
            <w:vMerge w:val="continue"/>
            <w:shd w:val="clear" w:color="auto" w:fill="03234B"/>
          </w:tcPr>
          <w:p>
            <w:pPr>
              <w:spacing w:after="0"/>
              <w:rPr>
                <w:sz w:val="18"/>
                <w:szCs w:val="18"/>
                <w:color w:val="auto"/>
              </w:rPr>
            </w:pPr>
          </w:p>
        </w:tc>
        <w:tc>
          <w:tcPr>
            <w:tcW w:w="1300" w:type="dxa"/>
            <w:vAlign w:val="bottom"/>
            <w:tcBorders>
              <w:left w:val="single" w:sz="8" w:color="03234B"/>
              <w:bottom w:val="single" w:sz="8" w:color="auto"/>
              <w:right w:val="single" w:sz="8" w:color="03234B"/>
            </w:tcBorders>
            <w:shd w:val="clear" w:color="auto" w:fill="03234B"/>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bottom w:val="single" w:sz="8" w:color="auto"/>
              <w:right w:val="single" w:sz="8" w:color="03234B"/>
            </w:tcBorders>
            <w:shd w:val="clear" w:color="auto" w:fill="03234B"/>
          </w:tcPr>
          <w:p>
            <w:pPr>
              <w:jc w:val="right"/>
              <w:ind w:right="1578"/>
              <w:spacing w:after="0"/>
              <w:rPr>
                <w:sz w:val="20"/>
                <w:szCs w:val="20"/>
                <w:color w:val="auto"/>
              </w:rPr>
            </w:pPr>
            <w:r>
              <w:rPr>
                <w:rFonts w:ascii="Arial" w:cs="Arial" w:eastAsia="Arial" w:hAnsi="Arial"/>
                <w:sz w:val="16"/>
                <w:szCs w:val="16"/>
                <w:color w:val="auto"/>
              </w:rPr>
              <w:t>90</w:t>
            </w:r>
          </w:p>
        </w:tc>
        <w:tc>
          <w:tcPr>
            <w:tcW w:w="2160" w:type="dxa"/>
            <w:vAlign w:val="bottom"/>
            <w:tcBorders>
              <w:bottom w:val="single" w:sz="8" w:color="auto"/>
              <w:right w:val="single" w:sz="8" w:color="03234B"/>
            </w:tcBorders>
            <w:shd w:val="clear" w:color="auto" w:fill="03234B"/>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03234B"/>
            </w:tcBorders>
            <w:shd w:val="clear" w:color="auto" w:fill="03234B"/>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35</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53</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98%</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34</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2"/>
        </w:trPr>
        <w:tc>
          <w:tcPr>
            <w:tcW w:w="1000" w:type="dxa"/>
            <w:vAlign w:val="bottom"/>
            <w:tcBorders>
              <w:bottom w:val="single" w:sz="8" w:color="03234B"/>
            </w:tcBorders>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2024</w:t>
            </w: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91</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32</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69</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31</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2"/>
        </w:trPr>
        <w:tc>
          <w:tcPr>
            <w:tcW w:w="1000" w:type="dxa"/>
            <w:vAlign w:val="bottom"/>
            <w:tcBorders>
              <w:bottom w:val="single" w:sz="8" w:color="03234B"/>
            </w:tcBorders>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2023</w:t>
            </w: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86</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32</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60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1000" w:type="dxa"/>
            <w:vAlign w:val="bottom"/>
            <w:tcBorders>
              <w:bottom w:val="single" w:sz="8" w:color="03234B"/>
            </w:tcBorders>
            <w:shd w:val="clear" w:color="auto" w:fill="03234B"/>
          </w:tcPr>
          <w:p>
            <w:pPr>
              <w:spacing w:after="0"/>
              <w:rPr>
                <w:sz w:val="21"/>
                <w:szCs w:val="21"/>
                <w:color w:val="auto"/>
              </w:rPr>
            </w:pPr>
          </w:p>
        </w:tc>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bottom w:val="single" w:sz="8" w:color="auto"/>
              <w:right w:val="single" w:sz="8" w:color="auto"/>
            </w:tcBorders>
          </w:tcPr>
          <w:p>
            <w:pPr>
              <w:jc w:val="right"/>
              <w:ind w:right="1578"/>
              <w:spacing w:after="0"/>
              <w:rPr>
                <w:sz w:val="20"/>
                <w:szCs w:val="20"/>
                <w:color w:val="auto"/>
              </w:rPr>
            </w:pPr>
            <w:r>
              <w:rPr>
                <w:rFonts w:ascii="Arial" w:cs="Arial" w:eastAsia="Arial" w:hAnsi="Arial"/>
                <w:sz w:val="16"/>
                <w:szCs w:val="16"/>
                <w:color w:val="auto"/>
              </w:rPr>
              <w:t>32</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bottom w:val="single" w:sz="8" w:color="auto"/>
              <w:right w:val="single" w:sz="8" w:color="auto"/>
            </w:tcBorders>
          </w:tcPr>
          <w:p>
            <w:pPr>
              <w:jc w:val="right"/>
              <w:ind w:right="173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1"/>
        </w:trPr>
        <w:tc>
          <w:tcPr>
            <w:tcW w:w="1000" w:type="dxa"/>
            <w:vAlign w:val="bottom"/>
            <w:shd w:val="clear" w:color="auto" w:fill="03234B"/>
          </w:tcPr>
          <w:p>
            <w:pPr>
              <w:spacing w:after="0"/>
              <w:rPr>
                <w:sz w:val="21"/>
                <w:szCs w:val="21"/>
                <w:color w:val="auto"/>
              </w:rPr>
            </w:pPr>
          </w:p>
        </w:tc>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40" w:type="dxa"/>
        <w:tblCellMar>
          <w:top w:w="0" w:type="dxa"/>
          <w:left w:w="0" w:type="dxa"/>
          <w:bottom w:w="0" w:type="dxa"/>
          <w:right w:w="0" w:type="dxa"/>
        </w:tblCellMar>
      </w:tblPr>
      <w:tr>
        <w:trPr>
          <w:trHeight w:val="251"/>
        </w:trPr>
        <w:tc>
          <w:tcPr>
            <w:tcW w:w="1000" w:type="dxa"/>
            <w:vAlign w:val="bottom"/>
            <w:shd w:val="clear" w:color="auto" w:fill="03234B"/>
          </w:tcPr>
          <w:p>
            <w:pPr>
              <w:jc w:val="right"/>
              <w:ind w:right="410"/>
              <w:spacing w:after="0"/>
              <w:rPr>
                <w:sz w:val="20"/>
                <w:szCs w:val="20"/>
                <w:color w:val="auto"/>
              </w:rPr>
            </w:pPr>
            <w:r>
              <w:rPr>
                <w:rFonts w:ascii="Arial" w:cs="Arial" w:eastAsia="Arial" w:hAnsi="Arial"/>
                <w:sz w:val="18"/>
                <w:szCs w:val="18"/>
                <w:b w:val="1"/>
                <w:bCs w:val="1"/>
                <w:color w:val="FFFFFF"/>
              </w:rPr>
              <w:t>Year</w:t>
            </w:r>
          </w:p>
        </w:tc>
        <w:tc>
          <w:tcPr>
            <w:tcW w:w="1300" w:type="dxa"/>
            <w:vAlign w:val="bottom"/>
            <w:tcBorders>
              <w:left w:val="single" w:sz="8" w:color="03234B"/>
              <w:right w:val="single" w:sz="8" w:color="03234B"/>
            </w:tcBorders>
            <w:shd w:val="clear" w:color="auto" w:fill="03234B"/>
          </w:tcPr>
          <w:p>
            <w:pPr>
              <w:ind w:left="100"/>
              <w:spacing w:after="0"/>
              <w:rPr>
                <w:sz w:val="20"/>
                <w:szCs w:val="20"/>
                <w:color w:val="auto"/>
              </w:rPr>
            </w:pPr>
            <w:r>
              <w:rPr>
                <w:rFonts w:ascii="Arial" w:cs="Arial" w:eastAsia="Arial" w:hAnsi="Arial"/>
                <w:sz w:val="18"/>
                <w:szCs w:val="18"/>
                <w:b w:val="1"/>
                <w:bCs w:val="1"/>
                <w:color w:val="FFFFFF"/>
              </w:rPr>
              <w:t>Metal</w:t>
            </w:r>
          </w:p>
        </w:tc>
        <w:tc>
          <w:tcPr>
            <w:tcW w:w="18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Number of smelters</w:t>
            </w: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Percentage of smelters</w:t>
            </w:r>
          </w:p>
        </w:tc>
        <w:tc>
          <w:tcPr>
            <w:tcW w:w="208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Percentage of active</w:t>
            </w:r>
          </w:p>
        </w:tc>
        <w:tc>
          <w:tcPr>
            <w:tcW w:w="0" w:type="dxa"/>
            <w:vAlign w:val="bottom"/>
          </w:tcPr>
          <w:p>
            <w:pPr>
              <w:spacing w:after="0"/>
              <w:rPr>
                <w:sz w:val="1"/>
                <w:szCs w:val="1"/>
                <w:color w:val="auto"/>
              </w:rPr>
            </w:pPr>
          </w:p>
        </w:tc>
      </w:tr>
      <w:tr>
        <w:trPr>
          <w:trHeight w:val="243"/>
        </w:trPr>
        <w:tc>
          <w:tcPr>
            <w:tcW w:w="1000" w:type="dxa"/>
            <w:vAlign w:val="bottom"/>
            <w:shd w:val="clear" w:color="auto" w:fill="03234B"/>
          </w:tcPr>
          <w:p>
            <w:pPr>
              <w:spacing w:after="0"/>
              <w:rPr>
                <w:sz w:val="21"/>
                <w:szCs w:val="21"/>
                <w:color w:val="auto"/>
              </w:rPr>
            </w:pPr>
          </w:p>
        </w:tc>
        <w:tc>
          <w:tcPr>
            <w:tcW w:w="1300" w:type="dxa"/>
            <w:vAlign w:val="bottom"/>
            <w:tcBorders>
              <w:left w:val="single" w:sz="8" w:color="03234B"/>
              <w:right w:val="single" w:sz="8" w:color="03234B"/>
            </w:tcBorders>
            <w:shd w:val="clear" w:color="auto" w:fill="03234B"/>
          </w:tcPr>
          <w:p>
            <w:pPr>
              <w:spacing w:after="0"/>
              <w:rPr>
                <w:sz w:val="21"/>
                <w:szCs w:val="21"/>
                <w:color w:val="auto"/>
              </w:rPr>
            </w:pPr>
          </w:p>
        </w:tc>
        <w:tc>
          <w:tcPr>
            <w:tcW w:w="18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declared</w:t>
            </w: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RMAP conformant</w:t>
            </w:r>
          </w:p>
        </w:tc>
        <w:tc>
          <w:tcPr>
            <w:tcW w:w="208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smelters declared</w:t>
            </w:r>
          </w:p>
        </w:tc>
        <w:tc>
          <w:tcPr>
            <w:tcW w:w="0" w:type="dxa"/>
            <w:vAlign w:val="bottom"/>
          </w:tcPr>
          <w:p>
            <w:pPr>
              <w:spacing w:after="0"/>
              <w:rPr>
                <w:sz w:val="1"/>
                <w:szCs w:val="1"/>
                <w:color w:val="auto"/>
              </w:rPr>
            </w:pPr>
          </w:p>
        </w:tc>
      </w:tr>
      <w:tr>
        <w:trPr>
          <w:trHeight w:val="247"/>
        </w:trPr>
        <w:tc>
          <w:tcPr>
            <w:tcW w:w="1000" w:type="dxa"/>
            <w:vAlign w:val="bottom"/>
            <w:shd w:val="clear" w:color="auto" w:fill="03234B"/>
          </w:tcPr>
          <w:p>
            <w:pPr>
              <w:spacing w:after="0"/>
              <w:rPr>
                <w:sz w:val="21"/>
                <w:szCs w:val="21"/>
                <w:color w:val="auto"/>
              </w:rPr>
            </w:pPr>
          </w:p>
        </w:tc>
        <w:tc>
          <w:tcPr>
            <w:tcW w:w="1300" w:type="dxa"/>
            <w:vAlign w:val="bottom"/>
            <w:tcBorders>
              <w:left w:val="single" w:sz="8" w:color="03234B"/>
              <w:right w:val="single" w:sz="8" w:color="03234B"/>
            </w:tcBorders>
            <w:shd w:val="clear" w:color="auto" w:fill="03234B"/>
          </w:tcPr>
          <w:p>
            <w:pPr>
              <w:spacing w:after="0"/>
              <w:rPr>
                <w:sz w:val="21"/>
                <w:szCs w:val="21"/>
                <w:color w:val="auto"/>
              </w:rPr>
            </w:pPr>
          </w:p>
        </w:tc>
        <w:tc>
          <w:tcPr>
            <w:tcW w:w="1860" w:type="dxa"/>
            <w:vAlign w:val="bottom"/>
            <w:tcBorders>
              <w:right w:val="single" w:sz="8" w:color="03234B"/>
            </w:tcBorders>
            <w:shd w:val="clear" w:color="auto" w:fill="03234B"/>
          </w:tcPr>
          <w:p>
            <w:pPr>
              <w:spacing w:after="0"/>
              <w:rPr>
                <w:sz w:val="21"/>
                <w:szCs w:val="21"/>
                <w:color w:val="auto"/>
              </w:rPr>
            </w:pPr>
          </w:p>
        </w:tc>
        <w:tc>
          <w:tcPr>
            <w:tcW w:w="2160" w:type="dxa"/>
            <w:vAlign w:val="bottom"/>
            <w:tcBorders>
              <w:right w:val="single" w:sz="8" w:color="03234B"/>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declared</w:t>
            </w:r>
          </w:p>
        </w:tc>
        <w:tc>
          <w:tcPr>
            <w:tcW w:w="2080" w:type="dxa"/>
            <w:vAlign w:val="bottom"/>
            <w:tcBorders>
              <w:right w:val="single" w:sz="8" w:color="03234B"/>
            </w:tcBorders>
            <w:shd w:val="clear" w:color="auto" w:fill="03234B"/>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2022</w:t>
            </w:r>
          </w:p>
        </w:tc>
        <w:tc>
          <w:tcPr>
            <w:tcW w:w="1300" w:type="dxa"/>
            <w:vAlign w:val="bottom"/>
            <w:tcBorders>
              <w:left w:val="single" w:sz="8" w:color="03234B"/>
              <w:bottom w:val="single" w:sz="8" w:color="auto"/>
              <w:right w:val="single" w:sz="8" w:color="03234B"/>
            </w:tcBorders>
            <w:shd w:val="clear" w:color="auto" w:fill="03234B"/>
          </w:tcPr>
          <w:p>
            <w:pPr>
              <w:spacing w:after="0"/>
              <w:rPr>
                <w:sz w:val="15"/>
                <w:szCs w:val="15"/>
                <w:color w:val="auto"/>
              </w:rPr>
            </w:pPr>
          </w:p>
        </w:tc>
        <w:tc>
          <w:tcPr>
            <w:tcW w:w="1860" w:type="dxa"/>
            <w:vAlign w:val="bottom"/>
            <w:tcBorders>
              <w:bottom w:val="single" w:sz="8" w:color="auto"/>
              <w:right w:val="single" w:sz="8" w:color="03234B"/>
            </w:tcBorders>
            <w:shd w:val="clear" w:color="auto" w:fill="03234B"/>
          </w:tcPr>
          <w:p>
            <w:pPr>
              <w:spacing w:after="0"/>
              <w:rPr>
                <w:sz w:val="15"/>
                <w:szCs w:val="15"/>
                <w:color w:val="auto"/>
              </w:rPr>
            </w:pPr>
          </w:p>
        </w:tc>
        <w:tc>
          <w:tcPr>
            <w:tcW w:w="2160" w:type="dxa"/>
            <w:vAlign w:val="bottom"/>
            <w:tcBorders>
              <w:bottom w:val="single" w:sz="8" w:color="auto"/>
              <w:right w:val="single" w:sz="8" w:color="03234B"/>
            </w:tcBorders>
            <w:shd w:val="clear" w:color="auto" w:fill="03234B"/>
          </w:tcPr>
          <w:p>
            <w:pPr>
              <w:spacing w:after="0"/>
              <w:rPr>
                <w:sz w:val="15"/>
                <w:szCs w:val="15"/>
                <w:color w:val="auto"/>
              </w:rPr>
            </w:pPr>
          </w:p>
        </w:tc>
        <w:tc>
          <w:tcPr>
            <w:tcW w:w="2080" w:type="dxa"/>
            <w:vAlign w:val="bottom"/>
            <w:tcBorders>
              <w:bottom w:val="single" w:sz="8" w:color="auto"/>
              <w:right w:val="single" w:sz="8" w:color="03234B"/>
            </w:tcBorders>
            <w:shd w:val="clear" w:color="auto" w:fill="03234B"/>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8"/>
        </w:trPr>
        <w:tc>
          <w:tcPr>
            <w:tcW w:w="1000" w:type="dxa"/>
            <w:vAlign w:val="bottom"/>
            <w:tcBorders>
              <w:bottom w:val="single" w:sz="8" w:color="03234B"/>
            </w:tcBorders>
            <w:shd w:val="clear" w:color="auto" w:fill="03234B"/>
          </w:tcPr>
          <w:p>
            <w:pPr>
              <w:spacing w:after="0"/>
              <w:rPr>
                <w:sz w:val="2"/>
                <w:szCs w:val="2"/>
                <w:color w:val="auto"/>
              </w:rPr>
            </w:pPr>
          </w:p>
        </w:tc>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34</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58</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2021</w:t>
            </w: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63</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54</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98.15%</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2020</w:t>
            </w: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107</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37</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53</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42</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2019</w:t>
            </w: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102</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72</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40</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2018</w:t>
            </w: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39</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73</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40</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vMerge w:val="restart"/>
            <w:shd w:val="clear" w:color="auto" w:fill="03234B"/>
          </w:tcPr>
          <w:p>
            <w:pPr>
              <w:jc w:val="right"/>
              <w:ind w:right="430"/>
              <w:spacing w:after="0"/>
              <w:rPr>
                <w:sz w:val="20"/>
                <w:szCs w:val="20"/>
                <w:color w:val="auto"/>
              </w:rPr>
            </w:pPr>
            <w:r>
              <w:rPr>
                <w:rFonts w:ascii="Arial" w:cs="Arial" w:eastAsia="Arial" w:hAnsi="Arial"/>
                <w:sz w:val="18"/>
                <w:szCs w:val="18"/>
                <w:b w:val="1"/>
                <w:bCs w:val="1"/>
                <w:color w:val="FFFFFF"/>
              </w:rPr>
              <w:t>2017</w:t>
            </w: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000" w:type="dxa"/>
            <w:vAlign w:val="bottom"/>
            <w:vMerge w:val="continue"/>
            <w:shd w:val="clear" w:color="auto" w:fill="03234B"/>
          </w:tcPr>
          <w:p>
            <w:pPr>
              <w:spacing w:after="0"/>
              <w:rPr>
                <w:sz w:val="19"/>
                <w:szCs w:val="19"/>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86</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1000" w:type="dxa"/>
            <w:vAlign w:val="bottom"/>
            <w:tcBorders>
              <w:bottom w:val="single" w:sz="8" w:color="03234B"/>
            </w:tcBorders>
            <w:shd w:val="clear" w:color="auto" w:fill="03234B"/>
          </w:tcPr>
          <w:p>
            <w:pPr>
              <w:spacing w:after="0"/>
              <w:rPr>
                <w:sz w:val="3"/>
                <w:szCs w:val="3"/>
                <w:color w:val="auto"/>
              </w:rPr>
            </w:pPr>
          </w:p>
        </w:tc>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17</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62</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55"/>
        </w:trPr>
        <w:tc>
          <w:tcPr>
            <w:tcW w:w="1000" w:type="dxa"/>
            <w:vAlign w:val="bottom"/>
            <w:tcBorders>
              <w:bottom w:val="single" w:sz="8" w:color="03234B"/>
            </w:tcBorders>
            <w:shd w:val="clear" w:color="auto" w:fill="03234B"/>
          </w:tcPr>
          <w:p>
            <w:pPr>
              <w:spacing w:after="0"/>
              <w:rPr>
                <w:sz w:val="4"/>
                <w:szCs w:val="4"/>
                <w:color w:val="auto"/>
              </w:rPr>
            </w:pPr>
          </w:p>
        </w:tc>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03234B"/>
          </w:tcPr>
          <w:p>
            <w:pPr>
              <w:spacing w:after="0"/>
              <w:rPr>
                <w:sz w:val="18"/>
                <w:szCs w:val="18"/>
                <w:color w:val="auto"/>
              </w:rPr>
            </w:pPr>
          </w:p>
        </w:tc>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w:t>
            </w:r>
          </w:p>
        </w:tc>
        <w:tc>
          <w:tcPr>
            <w:tcW w:w="2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9"/>
        </w:trPr>
        <w:tc>
          <w:tcPr>
            <w:tcW w:w="1000" w:type="dxa"/>
            <w:vAlign w:val="bottom"/>
            <w:shd w:val="clear" w:color="auto" w:fill="03234B"/>
          </w:tcPr>
          <w:p>
            <w:pPr>
              <w:spacing w:after="0"/>
              <w:rPr>
                <w:sz w:val="5"/>
                <w:szCs w:val="5"/>
                <w:color w:val="auto"/>
              </w:rPr>
            </w:pPr>
          </w:p>
        </w:tc>
        <w:tc>
          <w:tcPr>
            <w:tcW w:w="130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440" w:right="639"/>
        <w:spacing w:after="0" w:line="318" w:lineRule="auto"/>
        <w:rPr>
          <w:sz w:val="20"/>
          <w:szCs w:val="20"/>
          <w:color w:val="auto"/>
        </w:rPr>
      </w:pPr>
      <w:r>
        <w:rPr>
          <w:rFonts w:ascii="Arial" w:cs="Arial" w:eastAsia="Arial" w:hAnsi="Arial"/>
          <w:sz w:val="18"/>
          <w:szCs w:val="18"/>
          <w:color w:val="auto"/>
        </w:rPr>
        <w:t>The below table shows the status of all declared and identified smelters and refiners for the relevant years as per December 31 of each relevant year:</w:t>
      </w:r>
    </w:p>
    <w:p>
      <w:pPr>
        <w:sectPr>
          <w:pgSz w:w="11900" w:h="16838" w:orient="portrait"/>
          <w:cols w:equalWidth="0" w:num="1">
            <w:col w:w="9019"/>
          </w:cols>
          <w:pgMar w:left="1440" w:top="140" w:right="1440" w:bottom="0" w:gutter="0" w:footer="0" w:header="0"/>
        </w:sectPr>
      </w:pPr>
    </w:p>
    <w:bookmarkStart w:id="10" w:name="page11"/>
    <w:bookmarkEnd w:id="10"/>
    <w:tbl>
      <w:tblPr>
        <w:tblLayout w:type="fixed"/>
        <w:tblInd w:w="440" w:type="dxa"/>
        <w:tblCellMar>
          <w:top w:w="0" w:type="dxa"/>
          <w:left w:w="0" w:type="dxa"/>
          <w:bottom w:w="0" w:type="dxa"/>
          <w:right w:w="0" w:type="dxa"/>
        </w:tblCellMar>
      </w:tblPr>
      <w:tr>
        <w:trPr>
          <w:trHeight w:val="216"/>
        </w:trPr>
        <w:tc>
          <w:tcPr>
            <w:tcW w:w="1400" w:type="dxa"/>
            <w:vAlign w:val="bottom"/>
            <w:tcBorders>
              <w:right w:val="single" w:sz="8" w:color="auto"/>
            </w:tcBorders>
            <w:shd w:val="clear" w:color="auto" w:fill="03234B"/>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FFFFFF"/>
              </w:rPr>
              <w:t>2025</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FFFFFF"/>
              </w:rPr>
              <w:t>2024</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FFFFFF"/>
              </w:rPr>
              <w:t>2023</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FFFFFF"/>
              </w:rPr>
              <w:t>2022</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FFFFFF"/>
              </w:rPr>
              <w:t>2021</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FFFFFF"/>
              </w:rPr>
              <w:t>2020</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FFFFFF"/>
              </w:rPr>
              <w:t>2019</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FFFFFF"/>
              </w:rPr>
              <w:t>2018</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FFFFFF"/>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00" w:type="dxa"/>
            <w:vAlign w:val="bottom"/>
            <w:tcBorders>
              <w:right w:val="single" w:sz="8" w:color="auto"/>
            </w:tcBorders>
            <w:vMerge w:val="restart"/>
            <w:shd w:val="clear" w:color="auto" w:fill="03234B"/>
          </w:tcPr>
          <w:p>
            <w:pPr>
              <w:ind w:left="120"/>
              <w:spacing w:after="0"/>
              <w:rPr>
                <w:sz w:val="20"/>
                <w:szCs w:val="20"/>
                <w:color w:val="auto"/>
              </w:rPr>
            </w:pPr>
            <w:r>
              <w:rPr>
                <w:rFonts w:ascii="Arial" w:cs="Arial" w:eastAsia="Arial" w:hAnsi="Arial"/>
                <w:sz w:val="14"/>
                <w:szCs w:val="14"/>
                <w:b w:val="1"/>
                <w:bCs w:val="1"/>
                <w:color w:val="FFFFFF"/>
              </w:rPr>
              <w:t>Percentage of</w:t>
            </w:r>
          </w:p>
        </w:tc>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99.52%</w:t>
            </w:r>
          </w:p>
        </w:tc>
        <w:tc>
          <w:tcPr>
            <w:tcW w:w="20" w:type="dxa"/>
            <w:vAlign w:val="bottom"/>
          </w:tcPr>
          <w:p>
            <w:pPr>
              <w:spacing w:after="0"/>
              <w:rPr>
                <w:sz w:val="7"/>
                <w:szCs w:val="7"/>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99.47%</w:t>
            </w:r>
          </w:p>
        </w:tc>
        <w:tc>
          <w:tcPr>
            <w:tcW w:w="20" w:type="dxa"/>
            <w:vAlign w:val="bottom"/>
          </w:tcPr>
          <w:p>
            <w:pPr>
              <w:spacing w:after="0"/>
              <w:rPr>
                <w:sz w:val="7"/>
                <w:szCs w:val="7"/>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00" w:type="dxa"/>
            <w:vAlign w:val="bottom"/>
            <w:tcBorders>
              <w:right w:val="single" w:sz="8" w:color="auto"/>
            </w:tcBorders>
            <w:vMerge w:val="continue"/>
            <w:shd w:val="clear" w:color="auto" w:fill="03234B"/>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smelters certified</w:t>
            </w:r>
          </w:p>
        </w:tc>
        <w:tc>
          <w:tcPr>
            <w:tcW w:w="780" w:type="dxa"/>
            <w:vAlign w:val="bottom"/>
            <w:vMerge w:val="restart"/>
          </w:tcPr>
          <w:p>
            <w:pPr>
              <w:ind w:left="40"/>
              <w:spacing w:after="0"/>
              <w:rPr>
                <w:sz w:val="20"/>
                <w:szCs w:val="20"/>
                <w:color w:val="auto"/>
              </w:rPr>
            </w:pPr>
            <w:r>
              <w:rPr>
                <w:rFonts w:ascii="Arial" w:cs="Arial" w:eastAsia="Arial" w:hAnsi="Arial"/>
                <w:sz w:val="14"/>
                <w:szCs w:val="14"/>
                <w:color w:val="auto"/>
              </w:rPr>
              <w:t>(211/212)</w:t>
            </w:r>
          </w:p>
        </w:tc>
        <w:tc>
          <w:tcPr>
            <w:tcW w:w="20" w:type="dxa"/>
            <w:vAlign w:val="bottom"/>
            <w:vMerge w:val="restart"/>
            <w:shd w:val="clear" w:color="auto" w:fill="000000"/>
          </w:tcPr>
          <w:p>
            <w:pPr>
              <w:spacing w:after="0"/>
              <w:rPr>
                <w:sz w:val="17"/>
                <w:szCs w:val="17"/>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color w:val="auto"/>
              </w:rPr>
              <w:t>(223/223)</w:t>
            </w:r>
          </w:p>
        </w:tc>
        <w:tc>
          <w:tcPr>
            <w:tcW w:w="20" w:type="dxa"/>
            <w:vAlign w:val="bottom"/>
            <w:shd w:val="clear" w:color="auto" w:fill="002060"/>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(210/210)</w:t>
            </w:r>
          </w:p>
        </w:tc>
        <w:tc>
          <w:tcPr>
            <w:tcW w:w="20" w:type="dxa"/>
            <w:vAlign w:val="bottom"/>
            <w:vMerge w:val="restart"/>
            <w:shd w:val="clear" w:color="auto" w:fill="002060"/>
          </w:tcPr>
          <w:p>
            <w:pPr>
              <w:spacing w:after="0"/>
              <w:rPr>
                <w:sz w:val="17"/>
                <w:szCs w:val="17"/>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(229/229)</w:t>
            </w:r>
          </w:p>
        </w:tc>
        <w:tc>
          <w:tcPr>
            <w:tcW w:w="20" w:type="dxa"/>
            <w:vAlign w:val="bottom"/>
            <w:vMerge w:val="restart"/>
            <w:shd w:val="clear" w:color="auto" w:fill="002060"/>
          </w:tcPr>
          <w:p>
            <w:pPr>
              <w:spacing w:after="0"/>
              <w:rPr>
                <w:sz w:val="17"/>
                <w:szCs w:val="17"/>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(188/189)</w:t>
            </w:r>
          </w:p>
        </w:tc>
        <w:tc>
          <w:tcPr>
            <w:tcW w:w="20" w:type="dxa"/>
            <w:vAlign w:val="bottom"/>
            <w:vMerge w:val="restart"/>
            <w:shd w:val="clear" w:color="auto" w:fill="002060"/>
          </w:tcPr>
          <w:p>
            <w:pPr>
              <w:spacing w:after="0"/>
              <w:rPr>
                <w:sz w:val="17"/>
                <w:szCs w:val="1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(239/239)</w:t>
            </w:r>
          </w:p>
        </w:tc>
        <w:tc>
          <w:tcPr>
            <w:tcW w:w="20" w:type="dxa"/>
            <w:vAlign w:val="bottom"/>
            <w:vMerge w:val="restart"/>
            <w:shd w:val="clear" w:color="auto" w:fill="002060"/>
          </w:tcPr>
          <w:p>
            <w:pPr>
              <w:spacing w:after="0"/>
              <w:rPr>
                <w:sz w:val="17"/>
                <w:szCs w:val="17"/>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(253/253)</w:t>
            </w:r>
          </w:p>
        </w:tc>
        <w:tc>
          <w:tcPr>
            <w:tcW w:w="20" w:type="dxa"/>
            <w:vAlign w:val="bottom"/>
            <w:vMerge w:val="restart"/>
            <w:shd w:val="clear" w:color="auto" w:fill="002060"/>
          </w:tcPr>
          <w:p>
            <w:pPr>
              <w:spacing w:after="0"/>
              <w:rPr>
                <w:sz w:val="17"/>
                <w:szCs w:val="1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(251/251)</w:t>
            </w:r>
          </w:p>
        </w:tc>
        <w:tc>
          <w:tcPr>
            <w:tcW w:w="20" w:type="dxa"/>
            <w:vAlign w:val="bottom"/>
            <w:vMerge w:val="restart"/>
            <w:shd w:val="clear" w:color="auto" w:fill="002060"/>
          </w:tcPr>
          <w:p>
            <w:pPr>
              <w:spacing w:after="0"/>
              <w:rPr>
                <w:sz w:val="17"/>
                <w:szCs w:val="17"/>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(197/197)</w:t>
            </w:r>
          </w:p>
        </w:tc>
        <w:tc>
          <w:tcPr>
            <w:tcW w:w="20" w:type="dxa"/>
            <w:vAlign w:val="bottom"/>
            <w:vMerge w:val="restart"/>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400" w:type="dxa"/>
            <w:vAlign w:val="bottom"/>
            <w:tcBorders>
              <w:right w:val="single" w:sz="8" w:color="auto"/>
            </w:tcBorders>
            <w:vMerge w:val="restart"/>
            <w:shd w:val="clear" w:color="auto" w:fill="03234B"/>
          </w:tcPr>
          <w:p>
            <w:pPr>
              <w:ind w:left="120"/>
              <w:spacing w:after="0"/>
              <w:rPr>
                <w:sz w:val="20"/>
                <w:szCs w:val="20"/>
                <w:color w:val="auto"/>
              </w:rPr>
            </w:pPr>
            <w:r>
              <w:rPr>
                <w:rFonts w:ascii="Arial" w:cs="Arial" w:eastAsia="Arial" w:hAnsi="Arial"/>
                <w:sz w:val="14"/>
                <w:szCs w:val="14"/>
                <w:b w:val="1"/>
                <w:bCs w:val="1"/>
                <w:color w:val="FFFFFF"/>
              </w:rPr>
              <w:t>RMAP</w:t>
            </w:r>
          </w:p>
        </w:tc>
        <w:tc>
          <w:tcPr>
            <w:tcW w:w="780" w:type="dxa"/>
            <w:vAlign w:val="bottom"/>
            <w:vMerge w:val="continue"/>
          </w:tcPr>
          <w:p>
            <w:pPr>
              <w:spacing w:after="0"/>
              <w:rPr>
                <w:sz w:val="8"/>
                <w:szCs w:val="8"/>
                <w:color w:val="auto"/>
              </w:rPr>
            </w:pPr>
          </w:p>
        </w:tc>
        <w:tc>
          <w:tcPr>
            <w:tcW w:w="20" w:type="dxa"/>
            <w:vAlign w:val="bottom"/>
            <w:vMerge w:val="continue"/>
            <w:shd w:val="clear" w:color="auto" w:fill="000000"/>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vMerge w:val="continue"/>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00" w:type="dxa"/>
            <w:vAlign w:val="bottom"/>
            <w:tcBorders>
              <w:right w:val="single" w:sz="8" w:color="auto"/>
            </w:tcBorders>
            <w:vMerge w:val="continue"/>
            <w:shd w:val="clear" w:color="auto" w:fill="03234B"/>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conformant</w:t>
            </w:r>
          </w:p>
        </w:tc>
        <w:tc>
          <w:tcPr>
            <w:tcW w:w="7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Currently</w:t>
            </w:r>
          </w:p>
        </w:tc>
        <w:tc>
          <w:tcPr>
            <w:tcW w:w="78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0.53%</w:t>
            </w:r>
          </w:p>
        </w:tc>
        <w:tc>
          <w:tcPr>
            <w:tcW w:w="20" w:type="dxa"/>
            <w:vAlign w:val="bottom"/>
            <w:shd w:val="clear" w:color="auto" w:fill="002060"/>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participating, in</w:t>
            </w:r>
          </w:p>
        </w:tc>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1/212</w:t>
            </w:r>
          </w:p>
        </w:tc>
        <w:tc>
          <w:tcPr>
            <w:tcW w:w="20" w:type="dxa"/>
            <w:vAlign w:val="bottom"/>
            <w:shd w:val="clear" w:color="auto" w:fill="000000"/>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shd w:val="clear" w:color="auto" w:fill="002060"/>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Borders>
              <w:bottom w:val="single" w:sz="8" w:color="03234B"/>
              <w:right w:val="single" w:sz="8" w:color="auto"/>
            </w:tcBorders>
            <w:vMerge w:val="restart"/>
            <w:shd w:val="clear" w:color="auto" w:fill="03234B"/>
          </w:tcPr>
          <w:p>
            <w:pPr>
              <w:ind w:left="120"/>
              <w:spacing w:after="0"/>
              <w:rPr>
                <w:sz w:val="20"/>
                <w:szCs w:val="20"/>
                <w:color w:val="auto"/>
              </w:rPr>
            </w:pPr>
            <w:r>
              <w:rPr>
                <w:rFonts w:ascii="Arial" w:cs="Arial" w:eastAsia="Arial" w:hAnsi="Arial"/>
                <w:sz w:val="14"/>
                <w:szCs w:val="14"/>
                <w:b w:val="1"/>
                <w:bCs w:val="1"/>
                <w:color w:val="FFFFFF"/>
              </w:rPr>
              <w:t>communication</w:t>
            </w:r>
          </w:p>
        </w:tc>
        <w:tc>
          <w:tcPr>
            <w:tcW w:w="780" w:type="dxa"/>
            <w:vAlign w:val="bottom"/>
            <w:vMerge w:val="continue"/>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6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8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8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6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8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6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88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shd w:val="clear" w:color="auto" w:fill="00206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400" w:type="dxa"/>
            <w:vAlign w:val="bottom"/>
            <w:tcBorders>
              <w:right w:val="single" w:sz="8" w:color="auto"/>
            </w:tcBorders>
            <w:vMerge w:val="continue"/>
            <w:shd w:val="clear" w:color="auto" w:fill="03234B"/>
          </w:tcPr>
          <w:p>
            <w:pPr>
              <w:spacing w:after="0"/>
              <w:rPr>
                <w:sz w:val="6"/>
                <w:szCs w:val="6"/>
                <w:color w:val="auto"/>
              </w:rPr>
            </w:pPr>
          </w:p>
        </w:tc>
        <w:tc>
          <w:tcPr>
            <w:tcW w:w="7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(1/189)</w:t>
            </w: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400" w:type="dxa"/>
            <w:vAlign w:val="bottom"/>
            <w:tcBorders>
              <w:right w:val="single" w:sz="8" w:color="auto"/>
            </w:tcBorders>
            <w:vMerge w:val="continue"/>
            <w:shd w:val="clear" w:color="auto" w:fill="03234B"/>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vMerge w:val="continue"/>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00" w:type="dxa"/>
            <w:vAlign w:val="bottom"/>
            <w:tcBorders>
              <w:right w:val="single" w:sz="8" w:color="auto"/>
            </w:tcBorders>
            <w:vMerge w:val="restart"/>
            <w:shd w:val="clear" w:color="auto" w:fill="03234B"/>
          </w:tcPr>
          <w:p>
            <w:pPr>
              <w:ind w:left="120"/>
              <w:spacing w:after="0" w:line="137" w:lineRule="exact"/>
              <w:rPr>
                <w:sz w:val="20"/>
                <w:szCs w:val="20"/>
                <w:color w:val="auto"/>
              </w:rPr>
            </w:pPr>
            <w:r>
              <w:rPr>
                <w:rFonts w:ascii="Arial" w:cs="Arial" w:eastAsia="Arial" w:hAnsi="Arial"/>
                <w:sz w:val="14"/>
                <w:szCs w:val="14"/>
                <w:b w:val="1"/>
                <w:bCs w:val="1"/>
                <w:color w:val="FFFFFF"/>
              </w:rPr>
              <w:t>or agreed to</w:t>
            </w:r>
          </w:p>
        </w:tc>
        <w:tc>
          <w:tcPr>
            <w:tcW w:w="7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400" w:type="dxa"/>
            <w:vAlign w:val="bottom"/>
            <w:tcBorders>
              <w:right w:val="single" w:sz="8" w:color="auto"/>
            </w:tcBorders>
            <w:vMerge w:val="continue"/>
            <w:shd w:val="clear" w:color="auto" w:fill="03234B"/>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shd w:val="clear" w:color="auto" w:fill="00206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Outreach</w:t>
            </w:r>
          </w:p>
        </w:tc>
        <w:tc>
          <w:tcPr>
            <w:tcW w:w="78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80" w:type="dxa"/>
            <w:vAlign w:val="bottom"/>
          </w:tcPr>
          <w:p>
            <w:pPr>
              <w:ind w:left="8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206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shd w:val="clear" w:color="auto" w:fill="03234B"/>
          </w:tcPr>
          <w:p>
            <w:pPr>
              <w:ind w:left="120"/>
              <w:spacing w:after="0"/>
              <w:rPr>
                <w:sz w:val="20"/>
                <w:szCs w:val="20"/>
                <w:color w:val="auto"/>
              </w:rPr>
            </w:pPr>
            <w:r>
              <w:rPr>
                <w:rFonts w:ascii="Arial" w:cs="Arial" w:eastAsia="Arial" w:hAnsi="Arial"/>
                <w:sz w:val="14"/>
                <w:szCs w:val="14"/>
                <w:b w:val="1"/>
                <w:bCs w:val="1"/>
                <w:color w:val="FFFFFF"/>
              </w:rPr>
              <w:t>Required</w:t>
            </w:r>
          </w:p>
        </w:tc>
        <w:tc>
          <w:tcPr>
            <w:tcW w:w="7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400" w:type="dxa"/>
            <w:vAlign w:val="bottom"/>
            <w:tcBorders>
              <w:bottom w:val="single" w:sz="8" w:color="auto"/>
              <w:right w:val="single" w:sz="8" w:color="auto"/>
            </w:tcBorders>
            <w:shd w:val="clear" w:color="auto" w:fill="03234B"/>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002060"/>
            </w:tcBorders>
            <w:shd w:val="clear" w:color="auto" w:fill="00206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Analysis of our products considering due diligence results</w:t>
      </w:r>
    </w:p>
    <w:p>
      <w:pPr>
        <w:spacing w:after="0" w:line="264" w:lineRule="exact"/>
        <w:rPr>
          <w:sz w:val="20"/>
          <w:szCs w:val="20"/>
          <w:color w:val="auto"/>
        </w:rPr>
      </w:pPr>
    </w:p>
    <w:p>
      <w:pPr>
        <w:jc w:val="both"/>
        <w:ind w:left="440" w:right="1360"/>
        <w:spacing w:after="0" w:line="351" w:lineRule="auto"/>
        <w:rPr>
          <w:sz w:val="20"/>
          <w:szCs w:val="20"/>
          <w:color w:val="auto"/>
        </w:rPr>
      </w:pPr>
      <w:r>
        <w:rPr>
          <w:rFonts w:ascii="Arial" w:cs="Arial" w:eastAsia="Arial" w:hAnsi="Arial"/>
          <w:sz w:val="17"/>
          <w:szCs w:val="17"/>
          <w:color w:val="auto"/>
        </w:rPr>
        <w:t>From the figures in the above table, we can conclude that 99.52% of the smelters declared to us by our suppliers and subcontractors which remained as our sources of 3TG as of December 31, 2025,</w:t>
      </w:r>
    </w:p>
    <w:p>
      <w:pPr>
        <w:spacing w:after="0" w:line="235" w:lineRule="exact"/>
        <w:rPr>
          <w:sz w:val="20"/>
          <w:szCs w:val="20"/>
          <w:color w:val="auto"/>
        </w:rPr>
      </w:pPr>
    </w:p>
    <w:p>
      <w:pPr>
        <w:ind w:left="4440"/>
        <w:spacing w:after="0"/>
        <w:rPr>
          <w:sz w:val="20"/>
          <w:szCs w:val="20"/>
          <w:color w:val="auto"/>
        </w:rPr>
      </w:pPr>
      <w:r>
        <w:rPr>
          <w:rFonts w:ascii="Arial" w:cs="Arial" w:eastAsia="Arial" w:hAnsi="Arial"/>
          <w:sz w:val="20"/>
          <w:szCs w:val="20"/>
          <w:color w:val="002052"/>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right="1200"/>
        <w:spacing w:after="0" w:line="292" w:lineRule="auto"/>
        <w:rPr>
          <w:sz w:val="20"/>
          <w:szCs w:val="20"/>
          <w:color w:val="auto"/>
        </w:rPr>
      </w:pPr>
      <w:r>
        <w:rPr>
          <w:rFonts w:ascii="Arial" w:cs="Arial" w:eastAsia="Arial" w:hAnsi="Arial"/>
          <w:sz w:val="18"/>
          <w:szCs w:val="18"/>
          <w:color w:val="auto"/>
        </w:rPr>
        <w:t xml:space="preserve">were validated by the RMAP as being conformant as of December 31, 2025. We have included in </w:t>
      </w:r>
      <w:r>
        <w:rPr>
          <w:rFonts w:ascii="Arial" w:cs="Arial" w:eastAsia="Arial" w:hAnsi="Arial"/>
          <w:sz w:val="18"/>
          <w:szCs w:val="18"/>
          <w:u w:val="single" w:color="auto"/>
          <w:color w:val="auto"/>
        </w:rPr>
        <w:t>Table 1</w:t>
      </w:r>
      <w:r>
        <w:rPr>
          <w:rFonts w:ascii="Arial" w:cs="Arial" w:eastAsia="Arial" w:hAnsi="Arial"/>
          <w:sz w:val="18"/>
          <w:szCs w:val="18"/>
          <w:color w:val="auto"/>
        </w:rPr>
        <w:t xml:space="preserve"> in section IV below a list of these processing facilities as well as their identification number as used by the RMAP.</w:t>
      </w:r>
    </w:p>
    <w:p>
      <w:pPr>
        <w:spacing w:after="0" w:line="203" w:lineRule="exact"/>
        <w:rPr>
          <w:sz w:val="20"/>
          <w:szCs w:val="20"/>
          <w:color w:val="auto"/>
        </w:rPr>
      </w:pPr>
    </w:p>
    <w:p>
      <w:pPr>
        <w:jc w:val="both"/>
        <w:ind w:left="440" w:right="1140"/>
        <w:spacing w:after="0" w:line="282" w:lineRule="auto"/>
        <w:rPr>
          <w:sz w:val="20"/>
          <w:szCs w:val="20"/>
          <w:color w:val="auto"/>
        </w:rPr>
      </w:pPr>
      <w:r>
        <w:rPr>
          <w:rFonts w:ascii="Arial" w:cs="Arial" w:eastAsia="Arial" w:hAnsi="Arial"/>
          <w:sz w:val="18"/>
          <w:szCs w:val="18"/>
          <w:color w:val="auto"/>
        </w:rPr>
        <w:t xml:space="preserve">27 of the 240 smelters declared to us by our suppliers and subcontractors were RMAP conformant at some point during calendar year 2025 but no longer qualified as such as of December 31, 2025 and 27 smelters were therefore removed from our authorized sources of 3TG as of such date. We are not in a position to know whether a certain 3TG material which was used in the manufacture of a product during 2025 originated with one of such smelters before or after it lost its status as RMAP conformant. We have identified these smelters and the month during which we were notified of their removal from the RMAP conformance list in </w:t>
      </w:r>
      <w:r>
        <w:rPr>
          <w:rFonts w:ascii="Arial" w:cs="Arial" w:eastAsia="Arial" w:hAnsi="Arial"/>
          <w:sz w:val="18"/>
          <w:szCs w:val="18"/>
          <w:u w:val="single" w:color="auto"/>
          <w:color w:val="auto"/>
        </w:rPr>
        <w:t>Table 2</w:t>
      </w:r>
      <w:r>
        <w:rPr>
          <w:rFonts w:ascii="Arial" w:cs="Arial" w:eastAsia="Arial" w:hAnsi="Arial"/>
          <w:sz w:val="18"/>
          <w:szCs w:val="18"/>
          <w:color w:val="auto"/>
        </w:rPr>
        <w:t xml:space="preserve"> in section IV below.</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III. Design and implement a strategy to respond to identified risks</w:t>
      </w:r>
    </w:p>
    <w:p>
      <w:pPr>
        <w:spacing w:after="0" w:line="266" w:lineRule="exact"/>
        <w:rPr>
          <w:sz w:val="20"/>
          <w:szCs w:val="20"/>
          <w:color w:val="auto"/>
        </w:rPr>
      </w:pPr>
    </w:p>
    <w:p>
      <w:pPr>
        <w:jc w:val="both"/>
        <w:ind w:left="440" w:right="1460"/>
        <w:spacing w:after="0" w:line="300" w:lineRule="auto"/>
        <w:rPr>
          <w:sz w:val="20"/>
          <w:szCs w:val="20"/>
          <w:color w:val="auto"/>
        </w:rPr>
      </w:pPr>
      <w:r>
        <w:rPr>
          <w:rFonts w:ascii="Arial" w:cs="Arial" w:eastAsia="Arial" w:hAnsi="Arial"/>
          <w:sz w:val="18"/>
          <w:szCs w:val="18"/>
          <w:color w:val="auto"/>
        </w:rPr>
        <w:t>A key requirement to our supply chain is to use only RMAP conformant smelters. By doing this we ensure that most of the risks identified are addressed. The following section details our mitigation strategy per identified risk.</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 mitigation</w:t>
      </w:r>
    </w:p>
    <w:p>
      <w:pPr>
        <w:spacing w:after="0" w:line="279" w:lineRule="exact"/>
        <w:rPr>
          <w:sz w:val="20"/>
          <w:szCs w:val="20"/>
          <w:color w:val="auto"/>
        </w:rPr>
      </w:pPr>
    </w:p>
    <w:p>
      <w:pPr>
        <w:ind w:left="440" w:right="1700"/>
        <w:spacing w:after="0" w:line="303" w:lineRule="auto"/>
        <w:rPr>
          <w:sz w:val="20"/>
          <w:szCs w:val="20"/>
          <w:color w:val="auto"/>
        </w:rPr>
      </w:pPr>
      <w:r>
        <w:rPr>
          <w:rFonts w:ascii="Arial" w:cs="Arial" w:eastAsia="Arial" w:hAnsi="Arial"/>
          <w:sz w:val="18"/>
          <w:szCs w:val="18"/>
          <w:color w:val="auto"/>
        </w:rPr>
        <w:t>We have a risk mitigation plan to address the risks identified. In this plan, mitigation actions are detailed per category of identified risks.</w:t>
      </w:r>
    </w:p>
    <w:p>
      <w:pPr>
        <w:spacing w:after="0" w:line="193" w:lineRule="exact"/>
        <w:rPr>
          <w:sz w:val="20"/>
          <w:szCs w:val="20"/>
          <w:color w:val="auto"/>
        </w:rPr>
      </w:pPr>
    </w:p>
    <w:p>
      <w:pPr>
        <w:ind w:left="440" w:right="1120"/>
        <w:spacing w:after="0" w:line="351" w:lineRule="auto"/>
        <w:rPr>
          <w:sz w:val="20"/>
          <w:szCs w:val="20"/>
          <w:color w:val="auto"/>
        </w:rPr>
      </w:pPr>
      <w:r>
        <w:rPr>
          <w:rFonts w:ascii="Arial" w:cs="Arial" w:eastAsia="Arial" w:hAnsi="Arial"/>
          <w:sz w:val="17"/>
          <w:szCs w:val="17"/>
          <w:color w:val="auto"/>
        </w:rPr>
        <w:t>We mitigate risks identified “upstream” by only working with RMAP-conformant smelters and relying on the smelter audits. In case a smelter becomes non-conformant we remove it from our supply chain.</w:t>
      </w:r>
    </w:p>
    <w:p>
      <w:pPr>
        <w:spacing w:after="0" w:line="144" w:lineRule="exact"/>
        <w:rPr>
          <w:sz w:val="20"/>
          <w:szCs w:val="20"/>
          <w:color w:val="auto"/>
        </w:rPr>
      </w:pPr>
    </w:p>
    <w:p>
      <w:pPr>
        <w:ind w:left="440" w:right="1540"/>
        <w:spacing w:after="0" w:line="318" w:lineRule="auto"/>
        <w:rPr>
          <w:sz w:val="20"/>
          <w:szCs w:val="20"/>
          <w:color w:val="auto"/>
        </w:rPr>
      </w:pPr>
      <w:r>
        <w:rPr>
          <w:rFonts w:ascii="Arial" w:cs="Arial" w:eastAsia="Arial" w:hAnsi="Arial"/>
          <w:sz w:val="18"/>
          <w:szCs w:val="18"/>
          <w:color w:val="auto"/>
        </w:rPr>
        <w:t>We mitigate risks identified “downstream” by continuously assessing and training our suppliers to ensure the reliability of their due diligence.</w:t>
      </w:r>
    </w:p>
    <w:p>
      <w:pPr>
        <w:spacing w:after="0" w:line="167" w:lineRule="exact"/>
        <w:rPr>
          <w:sz w:val="20"/>
          <w:szCs w:val="20"/>
          <w:color w:val="auto"/>
        </w:rPr>
      </w:pPr>
    </w:p>
    <w:p>
      <w:pPr>
        <w:ind w:left="440" w:right="1380"/>
        <w:spacing w:after="0" w:line="275" w:lineRule="auto"/>
        <w:rPr>
          <w:sz w:val="20"/>
          <w:szCs w:val="20"/>
          <w:color w:val="auto"/>
        </w:rPr>
      </w:pPr>
      <w:r>
        <w:rPr>
          <w:rFonts w:ascii="Arial" w:cs="Arial" w:eastAsia="Arial" w:hAnsi="Arial"/>
          <w:sz w:val="18"/>
          <w:szCs w:val="18"/>
          <w:color w:val="auto"/>
          <w:highlight w:val="white"/>
        </w:rPr>
        <w:t>On a quarterly basis, a standard report is communicated to our Sustainability Council, consisting of representatives of the following organizations within ST: Corporate Social Responsibility, Internal Communication, External Communication, Quality, Product Groups, Manufacturing, Sales, Compliance &amp; Business Ethics, Procurement, Investor Relations and Finance.</w:t>
      </w:r>
      <w:r>
        <w:rPr>
          <w:sz w:val="1"/>
          <w:szCs w:val="1"/>
          <w:color w:val="auto"/>
        </w:rPr>
        <w:drawing>
          <wp:inline distT="0" distB="0" distL="0" distR="0">
            <wp:extent cx="34290"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128270"/>
                    </a:xfrm>
                    <a:prstGeom prst="rect">
                      <a:avLst/>
                    </a:prstGeom>
                    <a:noFill/>
                    <a:ln>
                      <a:noFill/>
                    </a:ln>
                  </pic:spPr>
                </pic:pic>
              </a:graphicData>
            </a:graphic>
          </wp:inline>
        </w:drawing>
      </w:r>
    </w:p>
    <w:p>
      <w:pPr>
        <w:spacing w:after="0" w:line="219" w:lineRule="exact"/>
        <w:rPr>
          <w:sz w:val="20"/>
          <w:szCs w:val="20"/>
          <w:color w:val="auto"/>
        </w:rPr>
      </w:pPr>
    </w:p>
    <w:p>
      <w:pPr>
        <w:ind w:left="440" w:right="1060"/>
        <w:spacing w:after="0" w:line="265" w:lineRule="auto"/>
        <w:rPr>
          <w:sz w:val="20"/>
          <w:szCs w:val="20"/>
          <w:color w:val="auto"/>
        </w:rPr>
      </w:pPr>
      <w:r>
        <w:rPr>
          <w:rFonts w:ascii="Arial" w:cs="Arial" w:eastAsia="Arial" w:hAnsi="Arial"/>
          <w:sz w:val="18"/>
          <w:szCs w:val="18"/>
          <w:color w:val="auto"/>
          <w:highlight w:val="white"/>
        </w:rPr>
        <w:t xml:space="preserve">This report details (i) the conflict minerals-related risks identified during the quarter, (ii) the mitigation actions taken and (iii) the conformance status and a list of delinquent suppliers which do not meet our </w:t>
      </w:r>
      <w:r>
        <w:rPr>
          <w:sz w:val="1"/>
          <w:szCs w:val="1"/>
          <w:color w:val="auto"/>
        </w:rPr>
        <w:drawing>
          <wp:inline distT="0" distB="0" distL="0" distR="0">
            <wp:extent cx="34290"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highlight w:val="white"/>
        </w:rPr>
        <w:t xml:space="preserve"> mandatory requirements despite several risk mitigation efforts attempted from our side. The </w:t>
      </w:r>
      <w:r>
        <w:rPr>
          <w:sz w:val="1"/>
          <w:szCs w:val="1"/>
          <w:color w:val="auto"/>
        </w:rPr>
        <w:drawing>
          <wp:inline distT="0" distB="0" distL="0" distR="0">
            <wp:extent cx="34290"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highlight w:val="white"/>
        </w:rPr>
        <w:t xml:space="preserve"> Sustainability Council should indicate further action to be taken to treat delinquent suppliers, which </w:t>
      </w:r>
      <w:r>
        <w:rPr>
          <w:sz w:val="1"/>
          <w:szCs w:val="1"/>
          <w:color w:val="auto"/>
        </w:rPr>
        <w:drawing>
          <wp:inline distT="0" distB="0" distL="0" distR="0">
            <wp:extent cx="34290"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highlight w:val="white"/>
        </w:rPr>
        <w:t xml:space="preserve"> may include disengaging with a delinquent supplier after failed attempts at risk mitigation, although the latter has not yet been the case.</w:t>
      </w:r>
      <w:r>
        <w:rPr>
          <w:sz w:val="1"/>
          <w:szCs w:val="1"/>
          <w:color w:val="auto"/>
        </w:rPr>
        <w:drawing>
          <wp:inline distT="0" distB="0" distL="0" distR="0">
            <wp:extent cx="2603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IV. Independent third-party audit of smelters</w:t>
      </w:r>
    </w:p>
    <w:p>
      <w:pPr>
        <w:sectPr>
          <w:pgSz w:w="11900" w:h="16838" w:orient="portrait"/>
          <w:cols w:equalWidth="0" w:num="1">
            <w:col w:w="9680"/>
          </w:cols>
          <w:pgMar w:left="1440" w:top="140" w:right="779" w:bottom="0" w:gutter="0" w:footer="0" w:header="0"/>
        </w:sectPr>
      </w:pPr>
    </w:p>
    <w:bookmarkStart w:id="11" w:name="page12"/>
    <w:bookmarkEnd w:id="11"/>
    <w:p>
      <w:pPr>
        <w:ind w:left="440" w:right="63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99.52% of the smelters declared to us by our suppliers and subcontractors which remained as our sources of 3TG as of December 31, 2025, were validated by the RMAP as being conformant based on independent third-party audits performed on these smelters. Included in the below table is a summary of the independent third-party audits performed on the processing facilities that were identified to us by our suppliers as potentially in our supply chain for 2025. The presence of a facility on this list does not mean that our products necessarily contained 3TGs processed by that facility. Location information for each processing facility is as reported by the RMAP as of December 31, 2025.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002052"/>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Lists of Processing Facilities</w:t>
      </w:r>
    </w:p>
    <w:p>
      <w:pPr>
        <w:spacing w:after="0" w:line="266" w:lineRule="exact"/>
        <w:rPr>
          <w:sz w:val="20"/>
          <w:szCs w:val="20"/>
          <w:color w:val="auto"/>
        </w:rPr>
      </w:pPr>
    </w:p>
    <w:p>
      <w:pPr>
        <w:jc w:val="both"/>
        <w:ind w:left="440" w:right="619"/>
        <w:spacing w:after="0" w:line="300" w:lineRule="auto"/>
        <w:rPr>
          <w:sz w:val="20"/>
          <w:szCs w:val="20"/>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 Processing facilities, listed by smelter identification number, reported in our supply chain in relation to calendar year 2025, which were audited through the RMAP conformant smelters program as of December 31, 2025 and of which only one was declared non-conformant:</w:t>
      </w:r>
    </w:p>
    <w:p>
      <w:pPr>
        <w:sectPr>
          <w:pgSz w:w="11900" w:h="16838" w:orient="portrait"/>
          <w:cols w:equalWidth="0" w:num="1">
            <w:col w:w="9019"/>
          </w:cols>
          <w:pgMar w:left="1440" w:top="310" w:right="1440" w:bottom="1440" w:gutter="0" w:footer="0" w:header="0"/>
        </w:sectPr>
      </w:pPr>
    </w:p>
    <w:bookmarkStart w:id="12" w:name="page13"/>
    <w:bookmarkEnd w:id="12"/>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002052"/>
        </w:rPr>
        <w:t>11</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50" w:type="dxa"/>
        <w:tblCellMar>
          <w:top w:w="0" w:type="dxa"/>
          <w:left w:w="0" w:type="dxa"/>
          <w:bottom w:w="0" w:type="dxa"/>
          <w:right w:w="0" w:type="dxa"/>
        </w:tblCellMar>
      </w:tblPr>
      <w:tr>
        <w:trPr>
          <w:trHeight w:val="242"/>
        </w:trPr>
        <w:tc>
          <w:tcPr>
            <w:tcW w:w="1220" w:type="dxa"/>
            <w:vAlign w:val="bottom"/>
            <w:tcBorders>
              <w:left w:val="single" w:sz="8" w:color="0070C0"/>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Metal</w:t>
            </w:r>
          </w:p>
        </w:tc>
        <w:tc>
          <w:tcPr>
            <w:tcW w:w="25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Name</w:t>
            </w:r>
          </w:p>
        </w:tc>
        <w:tc>
          <w:tcPr>
            <w:tcW w:w="14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Country</w:t>
            </w:r>
          </w:p>
        </w:tc>
        <w:tc>
          <w:tcPr>
            <w:tcW w:w="21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Auditor Name</w:t>
            </w:r>
          </w:p>
        </w:tc>
        <w:tc>
          <w:tcPr>
            <w:tcW w:w="0" w:type="dxa"/>
            <w:vAlign w:val="bottom"/>
          </w:tcPr>
          <w:p>
            <w:pPr>
              <w:spacing w:after="0"/>
              <w:rPr>
                <w:sz w:val="1"/>
                <w:szCs w:val="1"/>
                <w:color w:val="auto"/>
              </w:rPr>
            </w:pPr>
          </w:p>
        </w:tc>
      </w:tr>
      <w:tr>
        <w:trPr>
          <w:trHeight w:val="203"/>
        </w:trPr>
        <w:tc>
          <w:tcPr>
            <w:tcW w:w="1220" w:type="dxa"/>
            <w:vAlign w:val="bottom"/>
            <w:tcBorders>
              <w:left w:val="single" w:sz="8" w:color="0070C0"/>
              <w:bottom w:val="single" w:sz="8" w:color="auto"/>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Identification</w:t>
            </w:r>
          </w:p>
        </w:tc>
        <w:tc>
          <w:tcPr>
            <w:tcW w:w="9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25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14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21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CID002708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Abington Reldan Metals, LLC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CID000015</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Advanced Chemical Company</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CID000035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Agosi AG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CID000019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Aida Chemical Industries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CID000041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Almalyk Mining and Metallurgical</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UZBEKISTAN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(AMMC)</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CID000058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AngloGold Ashanti Corrego do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BRAZIL</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Sitio Mineracao</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CID000077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Argor-Heraeus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SWITZERLAND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CID000082</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ASAHI METALFINE, 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CID000924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Asahi Refining Canada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CANADA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CID000920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Asahi Refining USA 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CID000090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Asaka Riken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CID000113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Aurubis AG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CID002863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Bangalore Refinery</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INDIA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CID000128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Bangko Sentral ng Pilipinas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PHILIPPINES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(Central Bank of the Philippines)</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CID000157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Boliden Ronnskar</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SWEDEN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CID000176</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 Hafner GmbH + Co. KG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CID000185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CCR Refinery - Glencore Canada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CANADA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Corporation</w:t>
            </w:r>
          </w:p>
        </w:tc>
        <w:tc>
          <w:tcPr>
            <w:tcW w:w="14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CID000233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Chimet S.p.A.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ITALY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CID000264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Chugai Mining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CID004010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Coimpa Industrial LTDA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BRAZIL</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CID000401</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Dowa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CID000359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DSC (Do Sung Corporation)</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CID000425</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Eco-System Recycling Co., Ltd.</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East Plant</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CID003424</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Eco-System Recycling Co., Ltd.</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North Plant</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CID003425</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Eco-System Recycling Co., Ltd.</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West Plant</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TAIWAN,</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CID004755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Elite Industech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PROVINCE OF</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25"/>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TANZANIA,</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CID004506</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GG Refinery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25"/>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CID003641</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 by Gold Colombia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COLOMBIA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CID002030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Western Australian Mint (T/a The</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AUSTRALIA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Perth Mint)</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CID000694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Heimerle + Meule GmbH</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CID000711</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Heraeus Germany GmbH Co. KG</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CID000707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Heraeus Metals Hong Kong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9"/>
          <w:szCs w:val="19"/>
          <w:color w:val="002052"/>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12</w:t>
      </w:r>
    </w:p>
    <w:p>
      <w:pPr>
        <w:sectPr>
          <w:pgSz w:w="11900" w:h="16838" w:orient="portrait"/>
          <w:cols w:equalWidth="0" w:num="1">
            <w:col w:w="9019"/>
          </w:cols>
          <w:pgMar w:left="1440" w:top="253" w:right="1440" w:bottom="4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50" w:type="dxa"/>
        <w:tblCellMar>
          <w:top w:w="0" w:type="dxa"/>
          <w:left w:w="0" w:type="dxa"/>
          <w:bottom w:w="0" w:type="dxa"/>
          <w:right w:w="0" w:type="dxa"/>
        </w:tblCellMar>
      </w:tblPr>
      <w:tr>
        <w:trPr>
          <w:trHeight w:val="242"/>
        </w:trPr>
        <w:tc>
          <w:tcPr>
            <w:tcW w:w="1220" w:type="dxa"/>
            <w:vAlign w:val="bottom"/>
            <w:tcBorders>
              <w:left w:val="single" w:sz="8" w:color="0070C0"/>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Metal</w:t>
            </w:r>
          </w:p>
        </w:tc>
        <w:tc>
          <w:tcPr>
            <w:tcW w:w="25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Name</w:t>
            </w:r>
          </w:p>
        </w:tc>
        <w:tc>
          <w:tcPr>
            <w:tcW w:w="14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Country</w:t>
            </w:r>
          </w:p>
        </w:tc>
        <w:tc>
          <w:tcPr>
            <w:tcW w:w="21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Auditor Name</w:t>
            </w:r>
          </w:p>
        </w:tc>
        <w:tc>
          <w:tcPr>
            <w:tcW w:w="0" w:type="dxa"/>
            <w:vAlign w:val="bottom"/>
          </w:tcPr>
          <w:p>
            <w:pPr>
              <w:spacing w:after="0"/>
              <w:rPr>
                <w:sz w:val="1"/>
                <w:szCs w:val="1"/>
                <w:color w:val="auto"/>
              </w:rPr>
            </w:pPr>
          </w:p>
        </w:tc>
      </w:tr>
      <w:tr>
        <w:trPr>
          <w:trHeight w:val="203"/>
        </w:trPr>
        <w:tc>
          <w:tcPr>
            <w:tcW w:w="1220" w:type="dxa"/>
            <w:vAlign w:val="bottom"/>
            <w:tcBorders>
              <w:left w:val="single" w:sz="8" w:color="0070C0"/>
              <w:bottom w:val="single" w:sz="8" w:color="auto"/>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Identification</w:t>
            </w:r>
          </w:p>
        </w:tc>
        <w:tc>
          <w:tcPr>
            <w:tcW w:w="9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25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14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21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CID004610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Impala Platinum - Rustenburg</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SOUTH AFRICA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Smelter</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CID000801</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Inner Mongolia Qiankun Gold and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Silver Refinery Share Co., Ltd.</w:t>
            </w:r>
          </w:p>
        </w:tc>
        <w:tc>
          <w:tcPr>
            <w:tcW w:w="14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CID000807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Ishifuku Metal Industry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CID000814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Istanbul Gold Refinery</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TURKEY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CID002765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Italpreziosi</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ITALY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CID000823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 Mint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CID000855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Jiangxi Copper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CID000937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JX Nippon Mining &amp; Metals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CID000957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Kazzinc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KAZAKHSTAN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CID000969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Kennecott Utah Copper LLC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CID002511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KGHM Polska Miedz Spolka</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POLAND</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Akcyjna</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CID000981</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Kojima Chemicals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CID002605</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Korea Zinc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CID001078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LS MnM 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CID000689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 Metal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CID001113</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Materion</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CID001119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Matsuda Sangyo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CID003575</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Metal Concentrators SA (Pty) Ltd.</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SOUTH AFRICA</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RJC</w:t>
            </w: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CID001149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Metalor Technologies (Hong</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Kong)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CID001152</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Metalor Technologies (Singapore)</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SINGAPORE</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Pte., Ltd.</w:t>
            </w:r>
          </w:p>
        </w:tc>
        <w:tc>
          <w:tcPr>
            <w:tcW w:w="14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CID001147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Metalor Technologies (Suzhou)</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CID001153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Metalor Technologies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SWITZERLAND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CID001157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Metalor USA Refining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Corporation</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CID001161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Metalurgica Met-Mex Penoles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MEXICO</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S.A. De C.V.</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CID001188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Mitsubishi Materials Corporation</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CID001193</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Mitsui Mining and Smelting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CID001352</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MKS PAMP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SWITZERLAND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CID002509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MMTC-PAMP India Pvt.,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INDIA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CID001220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Nadir Metal Rafineri San. Ve Tic.</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TURKEY</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CID001236</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Navoi Mining and Metallurgical</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UZBEKISTAN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Combinat</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CID003189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NH Recytech Company</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CID001259</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Nihon Material Co., Ltd.</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53" w:right="1440" w:bottom="493"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002052"/>
        </w:rPr>
        <w:t>13</w:t>
      </w:r>
    </w:p>
    <w:p>
      <w:pPr>
        <w:sectPr>
          <w:pgSz w:w="11900" w:h="16838" w:orient="portrait"/>
          <w:cols w:equalWidth="0" w:num="1">
            <w:col w:w="9019"/>
          </w:cols>
          <w:pgMar w:left="1440" w:top="253" w:right="1440" w:bottom="493" w:gutter="0" w:footer="0" w:header="0"/>
          <w:type w:val="continuous"/>
        </w:sectPr>
      </w:pPr>
    </w:p>
    <w:bookmarkStart w:id="14" w:name="page15"/>
    <w:bookmarkEnd w:id="14"/>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50" w:type="dxa"/>
        <w:tblCellMar>
          <w:top w:w="0" w:type="dxa"/>
          <w:left w:w="0" w:type="dxa"/>
          <w:bottom w:w="0" w:type="dxa"/>
          <w:right w:w="0" w:type="dxa"/>
        </w:tblCellMar>
      </w:tblPr>
      <w:tr>
        <w:trPr>
          <w:trHeight w:val="242"/>
        </w:trPr>
        <w:tc>
          <w:tcPr>
            <w:tcW w:w="1220" w:type="dxa"/>
            <w:vAlign w:val="bottom"/>
            <w:tcBorders>
              <w:left w:val="single" w:sz="8" w:color="0070C0"/>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Metal</w:t>
            </w:r>
          </w:p>
        </w:tc>
        <w:tc>
          <w:tcPr>
            <w:tcW w:w="25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Name</w:t>
            </w:r>
          </w:p>
        </w:tc>
        <w:tc>
          <w:tcPr>
            <w:tcW w:w="14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Country</w:t>
            </w:r>
          </w:p>
        </w:tc>
        <w:tc>
          <w:tcPr>
            <w:tcW w:w="21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Auditor Name</w:t>
            </w:r>
          </w:p>
        </w:tc>
        <w:tc>
          <w:tcPr>
            <w:tcW w:w="0" w:type="dxa"/>
            <w:vAlign w:val="bottom"/>
          </w:tcPr>
          <w:p>
            <w:pPr>
              <w:spacing w:after="0"/>
              <w:rPr>
                <w:sz w:val="1"/>
                <w:szCs w:val="1"/>
                <w:color w:val="auto"/>
              </w:rPr>
            </w:pPr>
          </w:p>
        </w:tc>
      </w:tr>
      <w:tr>
        <w:trPr>
          <w:trHeight w:val="203"/>
        </w:trPr>
        <w:tc>
          <w:tcPr>
            <w:tcW w:w="1220" w:type="dxa"/>
            <w:vAlign w:val="bottom"/>
            <w:tcBorders>
              <w:left w:val="single" w:sz="8" w:color="0070C0"/>
              <w:bottom w:val="single" w:sz="8" w:color="auto"/>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Identification</w:t>
            </w:r>
          </w:p>
        </w:tc>
        <w:tc>
          <w:tcPr>
            <w:tcW w:w="9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25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14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21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CID001325</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Ohura Precious Metal Industry</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CID002919</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Planta Recuperadora de Metales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CHILE</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SpA</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CID001397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Aneka Tambang (Persero)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INDONESIA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Tbk</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CID001498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PX Precinox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SWITZERLAND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CID001512</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Rand Refinery (Pty) Ltd.</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SOUTH AFRICA</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CID002582</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REMONDIS PMR B.V.</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NETHERLANDS</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CID001534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Royal Canadian Mint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CANADA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CID002290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SAFINA A.S.</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CZECHIA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CID001585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SEMPSA Joyeria Plateria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SPAIN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CID001916</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Shandong Gold Smelting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CID001622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Shandong Zhaojin Gold &amp; Silver</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Refinery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CID001736</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Sichuan Tianze Precious Metals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Solar Applied Materials</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TAIWAN,</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CID001761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PROVINCE OF</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Technology Corp.</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CID001798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Sumitomo Metal Mining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CID002918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SungEel HiMetal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KOREA,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 OF</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CID002580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T.C.A S.p.A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ITALY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CID001875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Tanaka Kikinzoku Kogyo K.K.</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CID001938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Tokuriki Honten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CID002615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TOO Tau-Ken-Altyn</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KAZAKHSTAN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CID001980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Umicore S.A. Business Unit</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BELGIUM</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Precious Metals Refining</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CID001993</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Precious Metal Refining,</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CID002003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Valcambi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SWITZERLAND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LBMA RG / 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CID002778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WIELAND Edelmetalle GmbH</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RJC</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CID002100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Yamakin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CID002129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Yokohama Metal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CID002224</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Gold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Zhongyuan Gold Smelter of</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LBMA RG</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Zhongjin Gold Corporation</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CID001076</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AMG Brasil</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BRAZIL</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CID000211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Changsha South Tantalum</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Niobium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CID002504</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 Block Metals, LLC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CID000460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F&amp;X Electro-Materials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CID002505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FIR Metals &amp; Resource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CID002558</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Global Advanced Metals Aizu</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CID002557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Global Advanced Metals</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Boyertown</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CID000291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Guangdong Rising Rare Metals-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EO Materials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9"/>
          <w:szCs w:val="19"/>
          <w:color w:val="002052"/>
        </w:rPr>
        <w:t>14</w:t>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50" w:type="dxa"/>
        <w:tblCellMar>
          <w:top w:w="0" w:type="dxa"/>
          <w:left w:w="0" w:type="dxa"/>
          <w:bottom w:w="0" w:type="dxa"/>
          <w:right w:w="0" w:type="dxa"/>
        </w:tblCellMar>
      </w:tblPr>
      <w:tr>
        <w:trPr>
          <w:trHeight w:val="242"/>
        </w:trPr>
        <w:tc>
          <w:tcPr>
            <w:tcW w:w="1220" w:type="dxa"/>
            <w:vAlign w:val="bottom"/>
            <w:tcBorders>
              <w:left w:val="single" w:sz="8" w:color="0070C0"/>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Metal</w:t>
            </w:r>
          </w:p>
        </w:tc>
        <w:tc>
          <w:tcPr>
            <w:tcW w:w="25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Name</w:t>
            </w:r>
          </w:p>
        </w:tc>
        <w:tc>
          <w:tcPr>
            <w:tcW w:w="1480" w:type="dxa"/>
            <w:vAlign w:val="bottom"/>
            <w:tcBorders>
              <w:right w:val="single" w:sz="8" w:color="002060"/>
            </w:tcBorders>
            <w:vMerge w:val="restart"/>
            <w:shd w:val="clear" w:color="auto" w:fill="002060"/>
          </w:tcPr>
          <w:p>
            <w:pPr>
              <w:ind w:left="80"/>
              <w:spacing w:after="0"/>
              <w:rPr>
                <w:sz w:val="20"/>
                <w:szCs w:val="20"/>
                <w:color w:val="auto"/>
              </w:rPr>
            </w:pPr>
            <w:r>
              <w:rPr>
                <w:rFonts w:ascii="Arial" w:cs="Arial" w:eastAsia="Arial" w:hAnsi="Arial"/>
                <w:sz w:val="16"/>
                <w:szCs w:val="16"/>
                <w:b w:val="1"/>
                <w:bCs w:val="1"/>
                <w:color w:val="FFFFFF"/>
              </w:rPr>
              <w:t>Smelter Country</w:t>
            </w:r>
          </w:p>
        </w:tc>
        <w:tc>
          <w:tcPr>
            <w:tcW w:w="21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rPr>
              <w:t>Auditor Name</w:t>
            </w:r>
          </w:p>
        </w:tc>
        <w:tc>
          <w:tcPr>
            <w:tcW w:w="0" w:type="dxa"/>
            <w:vAlign w:val="bottom"/>
          </w:tcPr>
          <w:p>
            <w:pPr>
              <w:spacing w:after="0"/>
              <w:rPr>
                <w:sz w:val="1"/>
                <w:szCs w:val="1"/>
                <w:color w:val="auto"/>
              </w:rPr>
            </w:pPr>
          </w:p>
        </w:tc>
      </w:tr>
      <w:tr>
        <w:trPr>
          <w:trHeight w:val="203"/>
        </w:trPr>
        <w:tc>
          <w:tcPr>
            <w:tcW w:w="1220" w:type="dxa"/>
            <w:vAlign w:val="bottom"/>
            <w:tcBorders>
              <w:left w:val="single" w:sz="8" w:color="0070C0"/>
              <w:bottom w:val="single" w:sz="8" w:color="auto"/>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Identification</w:t>
            </w:r>
          </w:p>
        </w:tc>
        <w:tc>
          <w:tcPr>
            <w:tcW w:w="9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25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1480" w:type="dxa"/>
            <w:vAlign w:val="bottom"/>
            <w:tcBorders>
              <w:bottom w:val="single" w:sz="8" w:color="auto"/>
              <w:right w:val="single" w:sz="8" w:color="002060"/>
            </w:tcBorders>
            <w:vMerge w:val="continue"/>
            <w:shd w:val="clear" w:color="auto" w:fill="002060"/>
          </w:tcPr>
          <w:p>
            <w:pPr>
              <w:spacing w:after="0"/>
              <w:rPr>
                <w:sz w:val="17"/>
                <w:szCs w:val="17"/>
                <w:color w:val="auto"/>
              </w:rPr>
            </w:pPr>
          </w:p>
        </w:tc>
        <w:tc>
          <w:tcPr>
            <w:tcW w:w="2120" w:type="dxa"/>
            <w:vAlign w:val="bottom"/>
            <w:tcBorders>
              <w:bottom w:val="single" w:sz="8" w:color="auto"/>
              <w:right w:val="single" w:sz="8" w:color="0070C0"/>
            </w:tcBorders>
            <w:vMerge w:val="continue"/>
            <w:shd w:val="clear" w:color="auto" w:fill="002060"/>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CID002492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Hengyang King Xing Lifeng New</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Materials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CID002512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Jiangxi Dinghai Tantalum &amp;</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Niobium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CID002842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Jiangxi Tuohong New Raw</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Material</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CID000914</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JiuJiang JinXin Nonferrous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Metals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CID000917</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Jiujiang Tanbre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CID002506</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Jiujiang Zhongao Tantalum &amp;</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Niobium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CID002539</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KEMET de Mexico</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MEXICO</w:t>
            </w: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CID002548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Materion Newton 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CID001163</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Metallurgical Products India Pvt.,</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INDIA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CID001175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Mineracao Taboca S.A.</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BRAZIL</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CID001192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Mitsui Mining and Smelting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CID001277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Ningxia Orient Tantalum Industry</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CID001200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NPM Silmet AS</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ESTONIA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CID004054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PowerX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RWANDA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CID001508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QuantumClean</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CID002707</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Resind Industria e Comercio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BRAZIL</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Ltda.</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CID003583</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RFH Yancheng Jinye New</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Material Technology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CID001869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Taki Chemical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TANIOBIS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THAILAND</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CID002545</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TANIOBIS GmbH</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TANIOBIS Japan Co., Ltd.</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CID002550</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TANIOBIS Smelting GmbH &amp; Co.</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GERMANY</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KG</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CID001891</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Telex Metals</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CID001969</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Ulba Metallurgical Plant JSC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KAZAKHSTAN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CID000616</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XIMEI RESOURCES</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(GUANGDONG) LIMITED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CID002508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XinXing HaoRong Electronic</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Material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CID001522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Tantalum</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Yanling Jincheng Tantalum &amp;</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Niobium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CID000292</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Alpha Assembly Solutions Inc</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AMERICA</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CID002773</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Aurubis Beerse</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BELGIUM</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CID002774</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Aurubis Berango</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SPAIN</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CID000228</w:t>
            </w: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Chenzhou Yunxiang Mining and</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Metallurgy Co., Ltd.</w:t>
            </w:r>
          </w:p>
        </w:tc>
        <w:tc>
          <w:tcPr>
            <w:tcW w:w="14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CID003190</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Chifeng Dajingzi Tin Industry Co.,</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Ltd.</w:t>
            </w:r>
          </w:p>
        </w:tc>
        <w:tc>
          <w:tcPr>
            <w:tcW w:w="14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000" w:type="dxa"/>
            <w:vAlign w:val="bottom"/>
          </w:tcPr>
          <w:p>
            <w:pPr>
              <w:spacing w:after="0"/>
              <w:rPr>
                <w:sz w:val="20"/>
                <w:szCs w:val="20"/>
                <w:color w:val="auto"/>
              </w:rPr>
            </w:pPr>
            <w:r>
              <w:rPr>
                <w:rFonts w:ascii="Arial" w:cs="Arial" w:eastAsia="Arial" w:hAnsi="Arial"/>
                <w:sz w:val="16"/>
                <w:szCs w:val="16"/>
                <w:color w:val="auto"/>
              </w:rPr>
              <w:t>CID001070</w:t>
            </w:r>
          </w:p>
        </w:tc>
        <w:tc>
          <w:tcPr>
            <w:tcW w:w="760" w:type="dxa"/>
            <w:vAlign w:val="bottom"/>
          </w:tcPr>
          <w:p>
            <w:pPr>
              <w:ind w:left="200"/>
              <w:spacing w:after="0"/>
              <w:rPr>
                <w:sz w:val="20"/>
                <w:szCs w:val="20"/>
                <w:color w:val="auto"/>
              </w:rPr>
            </w:pPr>
            <w:r>
              <w:rPr>
                <w:rFonts w:ascii="Arial" w:cs="Arial" w:eastAsia="Arial" w:hAnsi="Arial"/>
                <w:sz w:val="16"/>
                <w:szCs w:val="16"/>
                <w:color w:val="auto"/>
              </w:rPr>
              <w:t>Tin</w:t>
            </w:r>
          </w:p>
        </w:tc>
        <w:tc>
          <w:tcPr>
            <w:tcW w:w="2560" w:type="dxa"/>
            <w:vAlign w:val="bottom"/>
          </w:tcPr>
          <w:p>
            <w:pPr>
              <w:ind w:left="340"/>
              <w:spacing w:after="0"/>
              <w:rPr>
                <w:sz w:val="20"/>
                <w:szCs w:val="20"/>
                <w:color w:val="auto"/>
              </w:rPr>
            </w:pPr>
            <w:r>
              <w:rPr>
                <w:rFonts w:ascii="Arial" w:cs="Arial" w:eastAsia="Arial" w:hAnsi="Arial"/>
                <w:sz w:val="16"/>
                <w:szCs w:val="16"/>
                <w:color w:val="auto"/>
              </w:rPr>
              <w:t>China Tin Group Co., Ltd.</w:t>
            </w:r>
          </w:p>
        </w:tc>
        <w:tc>
          <w:tcPr>
            <w:tcW w:w="1560" w:type="dxa"/>
            <w:vAlign w:val="bottom"/>
          </w:tcPr>
          <w:p>
            <w:pPr>
              <w:ind w:left="360"/>
              <w:spacing w:after="0"/>
              <w:rPr>
                <w:sz w:val="20"/>
                <w:szCs w:val="20"/>
                <w:color w:val="auto"/>
              </w:rPr>
            </w:pPr>
            <w:r>
              <w:rPr>
                <w:rFonts w:ascii="Arial" w:cs="Arial" w:eastAsia="Arial" w:hAnsi="Arial"/>
                <w:sz w:val="16"/>
                <w:szCs w:val="16"/>
                <w:color w:val="auto"/>
              </w:rPr>
              <w:t>CHINA</w:t>
            </w:r>
          </w:p>
        </w:tc>
        <w:tc>
          <w:tcPr>
            <w:tcW w:w="2140" w:type="dxa"/>
            <w:vAlign w:val="bottom"/>
          </w:tcPr>
          <w:p>
            <w:pPr>
              <w:ind w:left="300"/>
              <w:spacing w:after="0"/>
              <w:rPr>
                <w:sz w:val="20"/>
                <w:szCs w:val="20"/>
                <w:color w:val="auto"/>
              </w:rPr>
            </w:pPr>
            <w:r>
              <w:rPr>
                <w:rFonts w:ascii="Arial" w:cs="Arial" w:eastAsia="Arial" w:hAnsi="Arial"/>
                <w:sz w:val="16"/>
                <w:szCs w:val="16"/>
                <w:color w:val="auto"/>
                <w:w w:val="99"/>
              </w:rPr>
              <w:t>RMI (members / partners)</w:t>
            </w: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CID003524</w:t>
            </w:r>
          </w:p>
        </w:tc>
        <w:tc>
          <w:tcPr>
            <w:tcW w:w="760" w:type="dxa"/>
            <w:vAlign w:val="bottom"/>
          </w:tcPr>
          <w:p>
            <w:pPr>
              <w:ind w:left="200"/>
              <w:spacing w:after="0"/>
              <w:rPr>
                <w:sz w:val="20"/>
                <w:szCs w:val="20"/>
                <w:color w:val="auto"/>
              </w:rPr>
            </w:pPr>
            <w:r>
              <w:rPr>
                <w:rFonts w:ascii="Arial" w:cs="Arial" w:eastAsia="Arial" w:hAnsi="Arial"/>
                <w:sz w:val="16"/>
                <w:szCs w:val="16"/>
                <w:color w:val="auto"/>
              </w:rPr>
              <w:t>Tin</w:t>
            </w:r>
          </w:p>
        </w:tc>
        <w:tc>
          <w:tcPr>
            <w:tcW w:w="2560" w:type="dxa"/>
            <w:vAlign w:val="bottom"/>
          </w:tcPr>
          <w:p>
            <w:pPr>
              <w:ind w:left="340"/>
              <w:spacing w:after="0"/>
              <w:rPr>
                <w:sz w:val="20"/>
                <w:szCs w:val="20"/>
                <w:color w:val="auto"/>
              </w:rPr>
            </w:pPr>
            <w:r>
              <w:rPr>
                <w:rFonts w:ascii="Arial" w:cs="Arial" w:eastAsia="Arial" w:hAnsi="Arial"/>
                <w:sz w:val="16"/>
                <w:szCs w:val="16"/>
                <w:color w:val="auto"/>
              </w:rPr>
              <w:t>CRM Synergies</w:t>
            </w:r>
          </w:p>
        </w:tc>
        <w:tc>
          <w:tcPr>
            <w:tcW w:w="1560" w:type="dxa"/>
            <w:vAlign w:val="bottom"/>
          </w:tcPr>
          <w:p>
            <w:pPr>
              <w:ind w:left="360"/>
              <w:spacing w:after="0"/>
              <w:rPr>
                <w:sz w:val="20"/>
                <w:szCs w:val="20"/>
                <w:color w:val="auto"/>
              </w:rPr>
            </w:pPr>
            <w:r>
              <w:rPr>
                <w:rFonts w:ascii="Arial" w:cs="Arial" w:eastAsia="Arial" w:hAnsi="Arial"/>
                <w:sz w:val="16"/>
                <w:szCs w:val="16"/>
                <w:color w:val="auto"/>
              </w:rPr>
              <w:t>SPAIN</w:t>
            </w:r>
          </w:p>
        </w:tc>
        <w:tc>
          <w:tcPr>
            <w:tcW w:w="2140" w:type="dxa"/>
            <w:vAlign w:val="bottom"/>
          </w:tcPr>
          <w:p>
            <w:pPr>
              <w:ind w:left="300"/>
              <w:spacing w:after="0"/>
              <w:rPr>
                <w:sz w:val="20"/>
                <w:szCs w:val="20"/>
                <w:color w:val="auto"/>
              </w:rPr>
            </w:pPr>
            <w:r>
              <w:rPr>
                <w:rFonts w:ascii="Arial" w:cs="Arial" w:eastAsia="Arial" w:hAnsi="Arial"/>
                <w:sz w:val="16"/>
                <w:szCs w:val="16"/>
                <w:color w:val="auto"/>
                <w:w w:val="99"/>
              </w:rPr>
              <w:t>RMI (members / partners)</w:t>
            </w: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CID002570</w:t>
            </w:r>
          </w:p>
        </w:tc>
        <w:tc>
          <w:tcPr>
            <w:tcW w:w="760" w:type="dxa"/>
            <w:vAlign w:val="bottom"/>
          </w:tcPr>
          <w:p>
            <w:pPr>
              <w:ind w:left="200"/>
              <w:spacing w:after="0"/>
              <w:rPr>
                <w:sz w:val="20"/>
                <w:szCs w:val="20"/>
                <w:color w:val="auto"/>
              </w:rPr>
            </w:pPr>
            <w:r>
              <w:rPr>
                <w:rFonts w:ascii="Arial" w:cs="Arial" w:eastAsia="Arial" w:hAnsi="Arial"/>
                <w:sz w:val="16"/>
                <w:szCs w:val="16"/>
                <w:color w:val="auto"/>
              </w:rPr>
              <w:t>Tin</w:t>
            </w:r>
          </w:p>
        </w:tc>
        <w:tc>
          <w:tcPr>
            <w:tcW w:w="2560" w:type="dxa"/>
            <w:vAlign w:val="bottom"/>
          </w:tcPr>
          <w:p>
            <w:pPr>
              <w:ind w:left="340"/>
              <w:spacing w:after="0"/>
              <w:rPr>
                <w:sz w:val="20"/>
                <w:szCs w:val="20"/>
                <w:color w:val="auto"/>
              </w:rPr>
            </w:pPr>
            <w:r>
              <w:rPr>
                <w:rFonts w:ascii="Arial" w:cs="Arial" w:eastAsia="Arial" w:hAnsi="Arial"/>
                <w:sz w:val="16"/>
                <w:szCs w:val="16"/>
                <w:color w:val="auto"/>
              </w:rPr>
              <w:t>CV Ayi Jaya</w:t>
            </w:r>
          </w:p>
        </w:tc>
        <w:tc>
          <w:tcPr>
            <w:tcW w:w="1560" w:type="dxa"/>
            <w:vAlign w:val="bottom"/>
          </w:tcPr>
          <w:p>
            <w:pPr>
              <w:ind w:left="360"/>
              <w:spacing w:after="0"/>
              <w:rPr>
                <w:sz w:val="20"/>
                <w:szCs w:val="20"/>
                <w:color w:val="auto"/>
              </w:rPr>
            </w:pPr>
            <w:r>
              <w:rPr>
                <w:rFonts w:ascii="Arial" w:cs="Arial" w:eastAsia="Arial" w:hAnsi="Arial"/>
                <w:sz w:val="16"/>
                <w:szCs w:val="16"/>
                <w:color w:val="auto"/>
              </w:rPr>
              <w:t>INDONESIA</w:t>
            </w:r>
          </w:p>
        </w:tc>
        <w:tc>
          <w:tcPr>
            <w:tcW w:w="2140" w:type="dxa"/>
            <w:vAlign w:val="bottom"/>
          </w:tcPr>
          <w:p>
            <w:pPr>
              <w:ind w:left="300"/>
              <w:spacing w:after="0"/>
              <w:rPr>
                <w:sz w:val="20"/>
                <w:szCs w:val="20"/>
                <w:color w:val="auto"/>
              </w:rPr>
            </w:pPr>
            <w:r>
              <w:rPr>
                <w:rFonts w:ascii="Arial" w:cs="Arial" w:eastAsia="Arial" w:hAnsi="Arial"/>
                <w:sz w:val="16"/>
                <w:szCs w:val="16"/>
                <w:color w:val="auto"/>
                <w:w w:val="99"/>
              </w:rPr>
              <w:t>RMI (members / partners)</w:t>
            </w:r>
          </w:p>
        </w:tc>
      </w:tr>
    </w:tbl>
    <w:p>
      <w:pPr>
        <w:sectPr>
          <w:pgSz w:w="11900" w:h="16903" w:orient="portrait"/>
          <w:cols w:equalWidth="0" w:num="1">
            <w:col w:w="9019"/>
          </w:cols>
          <w:pgMar w:left="1440" w:top="180" w:right="1440" w:bottom="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03"/>
        </w:trPr>
        <w:tc>
          <w:tcPr>
            <w:tcW w:w="20" w:type="dxa"/>
            <w:vAlign w:val="bottom"/>
            <w:tcBorders>
              <w:top w:val="single" w:sz="8" w:color="0070C0"/>
            </w:tcBorders>
            <w:shd w:val="clear" w:color="auto" w:fill="0070C0"/>
          </w:tcPr>
          <w:p>
            <w:pPr>
              <w:spacing w:after="0"/>
              <w:rPr>
                <w:sz w:val="17"/>
                <w:szCs w:val="17"/>
                <w:color w:val="auto"/>
              </w:rPr>
            </w:pPr>
          </w:p>
        </w:tc>
        <w:tc>
          <w:tcPr>
            <w:tcW w:w="1180" w:type="dxa"/>
            <w:vAlign w:val="bottom"/>
            <w:tcBorders>
              <w:top w:val="single" w:sz="8" w:color="0070C0"/>
            </w:tcBorders>
          </w:tcPr>
          <w:p>
            <w:pPr>
              <w:ind w:left="100"/>
              <w:spacing w:after="0"/>
              <w:rPr>
                <w:sz w:val="20"/>
                <w:szCs w:val="20"/>
                <w:color w:val="auto"/>
              </w:rPr>
            </w:pPr>
            <w:r>
              <w:rPr>
                <w:rFonts w:ascii="Arial" w:cs="Arial" w:eastAsia="Arial" w:hAnsi="Arial"/>
                <w:sz w:val="16"/>
                <w:szCs w:val="16"/>
                <w:color w:val="auto"/>
                <w:w w:val="75"/>
              </w:rPr>
              <w:t>CID000402</w:t>
            </w:r>
            <w:r>
              <w:rPr>
                <w:rFonts w:ascii="Arial" w:cs="Arial" w:eastAsia="Arial" w:hAnsi="Arial"/>
                <w:sz w:val="16"/>
                <w:szCs w:val="16"/>
                <w:b w:val="1"/>
                <w:bCs w:val="1"/>
                <w:color w:val="FFFFFF"/>
                <w:w w:val="75"/>
              </w:rPr>
              <w:t>Smelter</w:t>
            </w:r>
          </w:p>
        </w:tc>
        <w:tc>
          <w:tcPr>
            <w:tcW w:w="20" w:type="dxa"/>
            <w:vAlign w:val="bottom"/>
            <w:tcBorders>
              <w:top w:val="single" w:sz="8" w:color="0070C0"/>
            </w:tcBorders>
            <w:shd w:val="clear" w:color="auto" w:fill="0070C0"/>
          </w:tcPr>
          <w:p>
            <w:pPr>
              <w:spacing w:after="0"/>
              <w:rPr>
                <w:sz w:val="17"/>
                <w:szCs w:val="17"/>
                <w:color w:val="auto"/>
              </w:rPr>
            </w:pPr>
          </w:p>
        </w:tc>
        <w:tc>
          <w:tcPr>
            <w:tcW w:w="900" w:type="dxa"/>
            <w:vAlign w:val="bottom"/>
            <w:tcBorders>
              <w:top w:val="single" w:sz="8" w:color="0070C0"/>
            </w:tcBorders>
          </w:tcPr>
          <w:p>
            <w:pPr>
              <w:ind w:left="100"/>
              <w:spacing w:after="0"/>
              <w:rPr>
                <w:sz w:val="20"/>
                <w:szCs w:val="20"/>
                <w:color w:val="auto"/>
              </w:rPr>
            </w:pPr>
            <w:r>
              <w:rPr>
                <w:rFonts w:ascii="Arial" w:cs="Arial" w:eastAsia="Arial" w:hAnsi="Arial"/>
                <w:sz w:val="16"/>
                <w:szCs w:val="16"/>
                <w:color w:val="auto"/>
              </w:rPr>
              <w:t>Tin</w:t>
            </w:r>
          </w:p>
        </w:tc>
        <w:tc>
          <w:tcPr>
            <w:tcW w:w="20" w:type="dxa"/>
            <w:vAlign w:val="bottom"/>
            <w:tcBorders>
              <w:top w:val="single" w:sz="8" w:color="0070C0"/>
            </w:tcBorders>
            <w:shd w:val="clear" w:color="auto" w:fill="0070C0"/>
          </w:tcPr>
          <w:p>
            <w:pPr>
              <w:spacing w:after="0"/>
              <w:rPr>
                <w:sz w:val="17"/>
                <w:szCs w:val="17"/>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Dowa</w:t>
            </w:r>
          </w:p>
        </w:tc>
        <w:tc>
          <w:tcPr>
            <w:tcW w:w="20" w:type="dxa"/>
            <w:vAlign w:val="bottom"/>
            <w:tcBorders>
              <w:top w:val="single" w:sz="8" w:color="0070C0"/>
            </w:tcBorders>
            <w:shd w:val="clear" w:color="auto" w:fill="0070C0"/>
          </w:tcPr>
          <w:p>
            <w:pPr>
              <w:spacing w:after="0"/>
              <w:rPr>
                <w:sz w:val="17"/>
                <w:szCs w:val="17"/>
                <w:color w:val="auto"/>
              </w:rPr>
            </w:pPr>
          </w:p>
        </w:tc>
        <w:tc>
          <w:tcPr>
            <w:tcW w:w="1460" w:type="dxa"/>
            <w:vAlign w:val="bottom"/>
            <w:tcBorders>
              <w:top w:val="single" w:sz="8" w:color="0070C0"/>
            </w:tcBorders>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Borders>
              <w:top w:val="single" w:sz="8" w:color="0070C0"/>
            </w:tcBorders>
            <w:shd w:val="clear" w:color="auto" w:fill="0070C0"/>
          </w:tcPr>
          <w:p>
            <w:pPr>
              <w:spacing w:after="0"/>
              <w:rPr>
                <w:sz w:val="17"/>
                <w:szCs w:val="17"/>
                <w:color w:val="auto"/>
              </w:rPr>
            </w:pPr>
          </w:p>
        </w:tc>
        <w:tc>
          <w:tcPr>
            <w:tcW w:w="2100" w:type="dxa"/>
            <w:vAlign w:val="bottom"/>
            <w:tcBorders>
              <w:top w:val="single" w:sz="8" w:color="0070C0"/>
            </w:tcBorders>
          </w:tcPr>
          <w:p>
            <w:pPr>
              <w:ind w:left="100"/>
              <w:spacing w:after="0"/>
              <w:rPr>
                <w:sz w:val="20"/>
                <w:szCs w:val="20"/>
                <w:color w:val="auto"/>
              </w:rPr>
            </w:pPr>
            <w:r>
              <w:rPr>
                <w:rFonts w:ascii="Arial" w:cs="Arial" w:eastAsia="Arial" w:hAnsi="Arial"/>
                <w:sz w:val="16"/>
                <w:szCs w:val="16"/>
                <w:color w:val="auto"/>
              </w:rPr>
              <w:t>RMI (members / partners)</w:t>
            </w:r>
          </w:p>
        </w:tc>
        <w:tc>
          <w:tcPr>
            <w:tcW w:w="20" w:type="dxa"/>
            <w:vAlign w:val="bottom"/>
            <w:tcBorders>
              <w:top w:val="single" w:sz="8" w:color="0070C0"/>
            </w:tcBorders>
            <w:shd w:val="clear" w:color="auto" w:fill="007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70C0"/>
          </w:tcPr>
          <w:p>
            <w:pPr>
              <w:spacing w:after="0"/>
              <w:rPr>
                <w:sz w:val="16"/>
                <w:szCs w:val="16"/>
                <w:color w:val="auto"/>
              </w:rPr>
            </w:pPr>
          </w:p>
        </w:tc>
        <w:tc>
          <w:tcPr>
            <w:tcW w:w="1180" w:type="dxa"/>
            <w:vAlign w:val="bottom"/>
          </w:tcPr>
          <w:p>
            <w:pPr>
              <w:ind w:left="100"/>
              <w:spacing w:after="0"/>
              <w:rPr>
                <w:sz w:val="20"/>
                <w:szCs w:val="20"/>
                <w:color w:val="auto"/>
              </w:rPr>
            </w:pPr>
            <w:r>
              <w:rPr>
                <w:rFonts w:ascii="Arial" w:cs="Arial" w:eastAsia="Arial" w:hAnsi="Arial"/>
                <w:sz w:val="16"/>
                <w:szCs w:val="16"/>
                <w:b w:val="1"/>
                <w:bCs w:val="1"/>
                <w:color w:val="FFFFFF"/>
              </w:rPr>
              <w:t>Identification</w:t>
            </w:r>
          </w:p>
        </w:tc>
        <w:tc>
          <w:tcPr>
            <w:tcW w:w="20" w:type="dxa"/>
            <w:vAlign w:val="bottom"/>
            <w:shd w:val="clear" w:color="auto" w:fill="0070C0"/>
          </w:tcPr>
          <w:p>
            <w:pPr>
              <w:spacing w:after="0"/>
              <w:rPr>
                <w:sz w:val="16"/>
                <w:szCs w:val="16"/>
                <w:color w:val="auto"/>
              </w:rPr>
            </w:pPr>
          </w:p>
        </w:tc>
        <w:tc>
          <w:tcPr>
            <w:tcW w:w="900" w:type="dxa"/>
            <w:vAlign w:val="bottom"/>
          </w:tcPr>
          <w:p>
            <w:pPr>
              <w:ind w:left="100"/>
              <w:spacing w:after="0"/>
              <w:rPr>
                <w:sz w:val="20"/>
                <w:szCs w:val="20"/>
                <w:color w:val="auto"/>
              </w:rPr>
            </w:pPr>
            <w:r>
              <w:rPr>
                <w:rFonts w:ascii="Arial" w:cs="Arial" w:eastAsia="Arial" w:hAnsi="Arial"/>
                <w:sz w:val="16"/>
                <w:szCs w:val="16"/>
                <w:b w:val="1"/>
                <w:bCs w:val="1"/>
                <w:color w:val="FFFFFF"/>
              </w:rPr>
              <w:t>Metal</w:t>
            </w:r>
          </w:p>
        </w:tc>
        <w:tc>
          <w:tcPr>
            <w:tcW w:w="20" w:type="dxa"/>
            <w:vAlign w:val="bottom"/>
            <w:shd w:val="clear" w:color="auto" w:fill="0070C0"/>
          </w:tcPr>
          <w:p>
            <w:pPr>
              <w:spacing w:after="0"/>
              <w:rPr>
                <w:sz w:val="16"/>
                <w:szCs w:val="16"/>
                <w:color w:val="auto"/>
              </w:rPr>
            </w:pPr>
          </w:p>
        </w:tc>
        <w:tc>
          <w:tcPr>
            <w:tcW w:w="2560" w:type="dxa"/>
            <w:vAlign w:val="bottom"/>
          </w:tcPr>
          <w:p>
            <w:pPr>
              <w:ind w:left="80"/>
              <w:spacing w:after="0"/>
              <w:rPr>
                <w:sz w:val="20"/>
                <w:szCs w:val="20"/>
                <w:color w:val="auto"/>
              </w:rPr>
            </w:pPr>
            <w:r>
              <w:rPr>
                <w:rFonts w:ascii="Arial" w:cs="Arial" w:eastAsia="Arial" w:hAnsi="Arial"/>
                <w:sz w:val="16"/>
                <w:szCs w:val="16"/>
                <w:b w:val="1"/>
                <w:bCs w:val="1"/>
                <w:color w:val="FFFFFF"/>
              </w:rPr>
              <w:t>Smelter Name</w:t>
            </w:r>
          </w:p>
        </w:tc>
        <w:tc>
          <w:tcPr>
            <w:tcW w:w="20" w:type="dxa"/>
            <w:vAlign w:val="bottom"/>
            <w:shd w:val="clear" w:color="auto" w:fill="0070C0"/>
          </w:tcPr>
          <w:p>
            <w:pPr>
              <w:spacing w:after="0"/>
              <w:rPr>
                <w:sz w:val="16"/>
                <w:szCs w:val="16"/>
                <w:color w:val="auto"/>
              </w:rPr>
            </w:pPr>
          </w:p>
        </w:tc>
        <w:tc>
          <w:tcPr>
            <w:tcW w:w="1460" w:type="dxa"/>
            <w:vAlign w:val="bottom"/>
          </w:tcPr>
          <w:p>
            <w:pPr>
              <w:ind w:left="80"/>
              <w:spacing w:after="0"/>
              <w:rPr>
                <w:sz w:val="20"/>
                <w:szCs w:val="20"/>
                <w:color w:val="auto"/>
              </w:rPr>
            </w:pPr>
            <w:r>
              <w:rPr>
                <w:rFonts w:ascii="Arial" w:cs="Arial" w:eastAsia="Arial" w:hAnsi="Arial"/>
                <w:sz w:val="16"/>
                <w:szCs w:val="16"/>
                <w:b w:val="1"/>
                <w:bCs w:val="1"/>
                <w:color w:val="FFFFFF"/>
              </w:rPr>
              <w:t>Smelter Country</w:t>
            </w:r>
          </w:p>
        </w:tc>
        <w:tc>
          <w:tcPr>
            <w:tcW w:w="20" w:type="dxa"/>
            <w:vAlign w:val="bottom"/>
            <w:shd w:val="clear" w:color="auto" w:fill="0070C0"/>
          </w:tcPr>
          <w:p>
            <w:pPr>
              <w:spacing w:after="0"/>
              <w:rPr>
                <w:sz w:val="16"/>
                <w:szCs w:val="16"/>
                <w:color w:val="auto"/>
              </w:rPr>
            </w:pPr>
          </w:p>
        </w:tc>
        <w:tc>
          <w:tcPr>
            <w:tcW w:w="2100" w:type="dxa"/>
            <w:vAlign w:val="bottom"/>
          </w:tcPr>
          <w:p>
            <w:pPr>
              <w:ind w:left="100"/>
              <w:spacing w:after="0"/>
              <w:rPr>
                <w:sz w:val="20"/>
                <w:szCs w:val="20"/>
                <w:color w:val="auto"/>
              </w:rPr>
            </w:pPr>
            <w:r>
              <w:rPr>
                <w:rFonts w:ascii="Arial" w:cs="Arial" w:eastAsia="Arial" w:hAnsi="Arial"/>
                <w:sz w:val="16"/>
                <w:szCs w:val="16"/>
                <w:b w:val="1"/>
                <w:bCs w:val="1"/>
                <w:color w:val="FFFFFF"/>
              </w:rPr>
              <w:t>Auditor Name</w:t>
            </w:r>
          </w:p>
        </w:tc>
        <w:tc>
          <w:tcPr>
            <w:tcW w:w="20" w:type="dxa"/>
            <w:vAlign w:val="bottom"/>
            <w:shd w:val="clear" w:color="auto" w:fill="007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70C0"/>
          </w:tcPr>
          <w:p>
            <w:pPr>
              <w:spacing w:after="0"/>
              <w:rPr>
                <w:sz w:val="5"/>
                <w:szCs w:val="5"/>
                <w:color w:val="auto"/>
              </w:rPr>
            </w:pPr>
          </w:p>
        </w:tc>
        <w:tc>
          <w:tcPr>
            <w:tcW w:w="118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CID003831</w:t>
            </w:r>
          </w:p>
        </w:tc>
        <w:tc>
          <w:tcPr>
            <w:tcW w:w="20" w:type="dxa"/>
            <w:vAlign w:val="bottom"/>
            <w:shd w:val="clear" w:color="auto" w:fill="0070C0"/>
          </w:tcPr>
          <w:p>
            <w:pPr>
              <w:spacing w:after="0"/>
              <w:rPr>
                <w:sz w:val="5"/>
                <w:szCs w:val="5"/>
                <w:color w:val="auto"/>
              </w:rPr>
            </w:pPr>
          </w:p>
        </w:tc>
        <w:tc>
          <w:tcPr>
            <w:tcW w:w="90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Tin</w:t>
            </w:r>
          </w:p>
        </w:tc>
        <w:tc>
          <w:tcPr>
            <w:tcW w:w="20" w:type="dxa"/>
            <w:vAlign w:val="bottom"/>
            <w:shd w:val="clear" w:color="auto" w:fill="0070C0"/>
          </w:tcPr>
          <w:p>
            <w:pPr>
              <w:spacing w:after="0"/>
              <w:rPr>
                <w:sz w:val="5"/>
                <w:szCs w:val="5"/>
                <w:color w:val="auto"/>
              </w:rPr>
            </w:pPr>
          </w:p>
        </w:tc>
        <w:tc>
          <w:tcPr>
            <w:tcW w:w="2560" w:type="dxa"/>
            <w:vAlign w:val="bottom"/>
            <w:vMerge w:val="restart"/>
          </w:tcPr>
          <w:p>
            <w:pPr>
              <w:ind w:left="80"/>
              <w:spacing w:after="0" w:line="175" w:lineRule="exact"/>
              <w:rPr>
                <w:sz w:val="20"/>
                <w:szCs w:val="20"/>
                <w:color w:val="auto"/>
              </w:rPr>
            </w:pPr>
            <w:r>
              <w:rPr>
                <w:rFonts w:ascii="Arial" w:cs="Arial" w:eastAsia="Arial" w:hAnsi="Arial"/>
                <w:sz w:val="16"/>
                <w:szCs w:val="16"/>
                <w:color w:val="auto"/>
              </w:rPr>
              <w:t>DS Myanmar</w:t>
            </w:r>
          </w:p>
        </w:tc>
        <w:tc>
          <w:tcPr>
            <w:tcW w:w="20" w:type="dxa"/>
            <w:vAlign w:val="bottom"/>
            <w:shd w:val="clear" w:color="auto" w:fill="0070C0"/>
          </w:tcPr>
          <w:p>
            <w:pPr>
              <w:spacing w:after="0"/>
              <w:rPr>
                <w:sz w:val="5"/>
                <w:szCs w:val="5"/>
                <w:color w:val="auto"/>
              </w:rPr>
            </w:pPr>
          </w:p>
        </w:tc>
        <w:tc>
          <w:tcPr>
            <w:tcW w:w="1460" w:type="dxa"/>
            <w:vAlign w:val="bottom"/>
            <w:vMerge w:val="restart"/>
          </w:tcPr>
          <w:p>
            <w:pPr>
              <w:ind w:left="80"/>
              <w:spacing w:after="0" w:line="175" w:lineRule="exact"/>
              <w:rPr>
                <w:sz w:val="20"/>
                <w:szCs w:val="20"/>
                <w:color w:val="auto"/>
              </w:rPr>
            </w:pPr>
            <w:r>
              <w:rPr>
                <w:rFonts w:ascii="Arial" w:cs="Arial" w:eastAsia="Arial" w:hAnsi="Arial"/>
                <w:sz w:val="16"/>
                <w:szCs w:val="16"/>
                <w:color w:val="auto"/>
              </w:rPr>
              <w:t>MYANMAR</w:t>
            </w:r>
          </w:p>
        </w:tc>
        <w:tc>
          <w:tcPr>
            <w:tcW w:w="20" w:type="dxa"/>
            <w:vAlign w:val="bottom"/>
            <w:shd w:val="clear" w:color="auto" w:fill="0070C0"/>
          </w:tcPr>
          <w:p>
            <w:pPr>
              <w:spacing w:after="0"/>
              <w:rPr>
                <w:sz w:val="5"/>
                <w:szCs w:val="5"/>
                <w:color w:val="auto"/>
              </w:rPr>
            </w:pPr>
          </w:p>
        </w:tc>
        <w:tc>
          <w:tcPr>
            <w:tcW w:w="210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RMI (members / partners)</w:t>
            </w:r>
          </w:p>
        </w:tc>
        <w:tc>
          <w:tcPr>
            <w:tcW w:w="20" w:type="dxa"/>
            <w:vAlign w:val="bottom"/>
            <w:shd w:val="clear" w:color="auto" w:fill="0070C0"/>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BOLIVIA</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CID000438</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Tin</w:t>
            </w:r>
          </w:p>
        </w:tc>
        <w:tc>
          <w:tcPr>
            <w:tcW w:w="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EM Vinto</w:t>
            </w: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(PLURINATIONAL</w:t>
            </w:r>
          </w:p>
        </w:tc>
        <w:tc>
          <w:tcPr>
            <w:tcW w:w="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STATE OF)</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CID000448</w:t>
            </w:r>
          </w:p>
        </w:tc>
        <w:tc>
          <w:tcPr>
            <w:tcW w:w="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Estanho de Rondonia S.A.</w:t>
            </w: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CID000468</w:t>
            </w:r>
          </w:p>
        </w:tc>
        <w:tc>
          <w:tcPr>
            <w:tcW w:w="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Fenix Metals</w:t>
            </w: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POLAND</w:t>
            </w:r>
          </w:p>
        </w:tc>
        <w:tc>
          <w:tcPr>
            <w:tcW w:w="2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CID000538</w:t>
            </w:r>
          </w:p>
        </w:tc>
        <w:tc>
          <w:tcPr>
            <w:tcW w:w="20" w:type="dxa"/>
            <w:vAlign w:val="bottom"/>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4"/>
                <w:szCs w:val="14"/>
                <w:color w:val="auto"/>
              </w:rPr>
            </w:pPr>
          </w:p>
        </w:tc>
        <w:tc>
          <w:tcPr>
            <w:tcW w:w="2560" w:type="dxa"/>
            <w:vAlign w:val="bottom"/>
          </w:tcPr>
          <w:p>
            <w:pPr>
              <w:ind w:left="80"/>
              <w:spacing w:after="0" w:line="168" w:lineRule="exact"/>
              <w:rPr>
                <w:sz w:val="20"/>
                <w:szCs w:val="20"/>
                <w:color w:val="auto"/>
              </w:rPr>
            </w:pPr>
            <w:r>
              <w:rPr>
                <w:rFonts w:ascii="Arial" w:cs="Arial" w:eastAsia="Arial" w:hAnsi="Arial"/>
                <w:sz w:val="16"/>
                <w:szCs w:val="16"/>
                <w:color w:val="auto"/>
              </w:rPr>
              <w:t>Gejiu Non-Ferrous Metal</w:t>
            </w:r>
          </w:p>
        </w:tc>
        <w:tc>
          <w:tcPr>
            <w:tcW w:w="20" w:type="dxa"/>
            <w:vAlign w:val="bottom"/>
          </w:tcPr>
          <w:p>
            <w:pPr>
              <w:spacing w:after="0"/>
              <w:rPr>
                <w:sz w:val="14"/>
                <w:szCs w:val="14"/>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4"/>
                <w:szCs w:val="14"/>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Processing Co., Ltd.</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CID004754</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Global Advanced Metals</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Greenbushes Pty Ltd.</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CID003116</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Guangdong Hanhe Non-Ferrous</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Metal Co., Ltd.</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CID002844</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HuiChang Hill Tin Industry Co.,</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Ltd.</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CID003387</w:t>
            </w:r>
          </w:p>
        </w:tc>
        <w:tc>
          <w:tcPr>
            <w:tcW w:w="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1"/>
                <w:szCs w:val="21"/>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Luna Smelter, Ltd.</w:t>
            </w:r>
          </w:p>
        </w:tc>
        <w:tc>
          <w:tcPr>
            <w:tcW w:w="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RWANDA</w:t>
            </w:r>
          </w:p>
        </w:tc>
        <w:tc>
          <w:tcPr>
            <w:tcW w:w="20" w:type="dxa"/>
            <w:vAlign w:val="bottom"/>
          </w:tcPr>
          <w:p>
            <w:pPr>
              <w:spacing w:after="0"/>
              <w:rPr>
                <w:sz w:val="21"/>
                <w:szCs w:val="21"/>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CID002468</w:t>
            </w:r>
          </w:p>
        </w:tc>
        <w:tc>
          <w:tcPr>
            <w:tcW w:w="20" w:type="dxa"/>
            <w:vAlign w:val="bottom"/>
          </w:tcPr>
          <w:p>
            <w:pPr>
              <w:spacing w:after="0"/>
              <w:rPr>
                <w:sz w:val="22"/>
                <w:szCs w:val="22"/>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2"/>
                <w:szCs w:val="22"/>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Magnu's Minerais Metais e Ligas</w:t>
            </w:r>
          </w:p>
        </w:tc>
        <w:tc>
          <w:tcPr>
            <w:tcW w:w="20" w:type="dxa"/>
            <w:vAlign w:val="bottom"/>
          </w:tcPr>
          <w:p>
            <w:pPr>
              <w:spacing w:after="0"/>
              <w:rPr>
                <w:sz w:val="22"/>
                <w:szCs w:val="22"/>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22"/>
                <w:szCs w:val="22"/>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Ltda.</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CID001105</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Malaysia Smelting Corporation</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(MSC)</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CID004434</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Malaysia Smelting Corporation</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Berhad (Port Klang)</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CID001142</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Metallic Resources, Inc.</w:t>
            </w:r>
          </w:p>
        </w:tc>
        <w:tc>
          <w:tcPr>
            <w:tcW w:w="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OF AMERICA</w:t>
            </w: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CID001173</w:t>
            </w:r>
          </w:p>
        </w:tc>
        <w:tc>
          <w:tcPr>
            <w:tcW w:w="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1"/>
                <w:szCs w:val="21"/>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Mineracao Taboca S.A.</w:t>
            </w:r>
          </w:p>
        </w:tc>
        <w:tc>
          <w:tcPr>
            <w:tcW w:w="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21"/>
                <w:szCs w:val="21"/>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CONGO,</w:t>
            </w: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CID004065</w:t>
            </w:r>
          </w:p>
        </w:tc>
        <w:tc>
          <w:tcPr>
            <w:tcW w:w="20" w:type="dxa"/>
            <w:vAlign w:val="bottom"/>
          </w:tcPr>
          <w:p>
            <w:pPr>
              <w:spacing w:after="0"/>
              <w:rPr>
                <w:sz w:val="18"/>
                <w:szCs w:val="18"/>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8"/>
                <w:szCs w:val="18"/>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Mining Minerals Resources SARL</w:t>
            </w: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DEMOCRATIC</w:t>
            </w:r>
          </w:p>
        </w:tc>
        <w:tc>
          <w:tcPr>
            <w:tcW w:w="20" w:type="dxa"/>
            <w:vAlign w:val="bottom"/>
          </w:tcPr>
          <w:p>
            <w:pPr>
              <w:spacing w:after="0"/>
              <w:rPr>
                <w:sz w:val="18"/>
                <w:szCs w:val="18"/>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REPUBLIC OF</w:t>
            </w:r>
          </w:p>
        </w:tc>
        <w:tc>
          <w:tcPr>
            <w:tcW w:w="20" w:type="dxa"/>
            <w:vAlign w:val="bottom"/>
            <w:vMerge w:val="restart"/>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THE</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CID001182</w:t>
            </w:r>
          </w:p>
        </w:tc>
        <w:tc>
          <w:tcPr>
            <w:tcW w:w="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1"/>
                <w:szCs w:val="21"/>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Minsur</w:t>
            </w:r>
          </w:p>
        </w:tc>
        <w:tc>
          <w:tcPr>
            <w:tcW w:w="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PERU</w:t>
            </w:r>
          </w:p>
        </w:tc>
        <w:tc>
          <w:tcPr>
            <w:tcW w:w="20" w:type="dxa"/>
            <w:vAlign w:val="bottom"/>
          </w:tcPr>
          <w:p>
            <w:pPr>
              <w:spacing w:after="0"/>
              <w:rPr>
                <w:sz w:val="21"/>
                <w:szCs w:val="21"/>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CID001191</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Mitsubishi Materials Corporation</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CID001314</w:t>
            </w:r>
          </w:p>
        </w:tc>
        <w:tc>
          <w:tcPr>
            <w:tcW w:w="20" w:type="dxa"/>
            <w:vAlign w:val="bottom"/>
          </w:tcPr>
          <w:p>
            <w:pPr>
              <w:spacing w:after="0"/>
              <w:rPr>
                <w:sz w:val="22"/>
                <w:szCs w:val="22"/>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2"/>
                <w:szCs w:val="22"/>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O.M. Manufacturing (Thailand)</w:t>
            </w:r>
          </w:p>
        </w:tc>
        <w:tc>
          <w:tcPr>
            <w:tcW w:w="20" w:type="dxa"/>
            <w:vAlign w:val="bottom"/>
          </w:tcPr>
          <w:p>
            <w:pPr>
              <w:spacing w:after="0"/>
              <w:rPr>
                <w:sz w:val="22"/>
                <w:szCs w:val="22"/>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22"/>
                <w:szCs w:val="22"/>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vMerge w:val="restart"/>
          </w:tcPr>
          <w:p>
            <w:pPr>
              <w:ind w:left="100"/>
              <w:spacing w:after="0"/>
              <w:rPr>
                <w:sz w:val="20"/>
                <w:szCs w:val="20"/>
                <w:color w:val="auto"/>
              </w:rPr>
            </w:pPr>
            <w:r>
              <w:rPr>
                <w:rFonts w:ascii="Arial" w:cs="Arial" w:eastAsia="Arial" w:hAnsi="Arial"/>
                <w:sz w:val="16"/>
                <w:szCs w:val="16"/>
                <w:color w:val="auto"/>
              </w:rPr>
              <w:t>CID002517</w:t>
            </w:r>
          </w:p>
        </w:tc>
        <w:tc>
          <w:tcPr>
            <w:tcW w:w="20" w:type="dxa"/>
            <w:vAlign w:val="bottom"/>
          </w:tcPr>
          <w:p>
            <w:pPr>
              <w:spacing w:after="0"/>
              <w:rPr>
                <w:sz w:val="19"/>
                <w:szCs w:val="19"/>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O.M. Manufacturing Philippines,</w:t>
            </w:r>
          </w:p>
        </w:tc>
        <w:tc>
          <w:tcPr>
            <w:tcW w:w="20" w:type="dxa"/>
            <w:vAlign w:val="bottom"/>
          </w:tcPr>
          <w:p>
            <w:pPr>
              <w:spacing w:after="0"/>
              <w:rPr>
                <w:sz w:val="19"/>
                <w:szCs w:val="1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color w:val="auto"/>
              </w:rPr>
              <w:t>PHILIPPINES</w:t>
            </w:r>
          </w:p>
        </w:tc>
        <w:tc>
          <w:tcPr>
            <w:tcW w:w="20" w:type="dxa"/>
            <w:vAlign w:val="bottom"/>
          </w:tcPr>
          <w:p>
            <w:pPr>
              <w:spacing w:after="0"/>
              <w:rPr>
                <w:sz w:val="19"/>
                <w:szCs w:val="19"/>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restart"/>
          </w:tcPr>
          <w:p>
            <w:pPr>
              <w:ind w:left="8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BOLIVIA</w:t>
            </w: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CID001337</w:t>
            </w:r>
          </w:p>
        </w:tc>
        <w:tc>
          <w:tcPr>
            <w:tcW w:w="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Operaciones Metalurgicas S.A.</w:t>
            </w: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(PLURINATIONAL</w:t>
            </w:r>
          </w:p>
        </w:tc>
        <w:tc>
          <w:tcPr>
            <w:tcW w:w="2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STATE OF)</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CID005067</w:t>
            </w:r>
          </w:p>
        </w:tc>
        <w:tc>
          <w:tcPr>
            <w:tcW w:w="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1"/>
                <w:szCs w:val="21"/>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Arsed Indonesia</w:t>
            </w:r>
          </w:p>
        </w:tc>
        <w:tc>
          <w:tcPr>
            <w:tcW w:w="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1"/>
                <w:szCs w:val="21"/>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CID002503</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ATD Makmur Mandiri Jaya</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69"/>
        </w:trPr>
        <w:tc>
          <w:tcPr>
            <w:tcW w:w="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CID002776</w:t>
            </w:r>
          </w:p>
        </w:tc>
        <w:tc>
          <w:tcPr>
            <w:tcW w:w="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Bangka Prima Tin</w:t>
            </w:r>
          </w:p>
        </w:tc>
        <w:tc>
          <w:tcPr>
            <w:tcW w:w="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CID002696</w:t>
            </w:r>
          </w:p>
        </w:tc>
        <w:tc>
          <w:tcPr>
            <w:tcW w:w="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1"/>
                <w:szCs w:val="21"/>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Cipta Persada Mulia</w:t>
            </w:r>
          </w:p>
        </w:tc>
        <w:tc>
          <w:tcPr>
            <w:tcW w:w="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1"/>
                <w:szCs w:val="21"/>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CID001453</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Mitra Stania Prima</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CID003449</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Mitra Sukses Globalindo</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CID000313</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Premium Tin Indonesia</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ind w:left="100"/>
              <w:spacing w:after="0"/>
              <w:rPr>
                <w:sz w:val="20"/>
                <w:szCs w:val="20"/>
                <w:color w:val="auto"/>
              </w:rPr>
            </w:pPr>
            <w:r>
              <w:rPr>
                <w:rFonts w:ascii="Arial" w:cs="Arial" w:eastAsia="Arial" w:hAnsi="Arial"/>
                <w:sz w:val="16"/>
                <w:szCs w:val="16"/>
                <w:color w:val="auto"/>
              </w:rPr>
              <w:t>CID001458</w:t>
            </w:r>
          </w:p>
        </w:tc>
        <w:tc>
          <w:tcPr>
            <w:tcW w:w="20" w:type="dxa"/>
            <w:vAlign w:val="bottom"/>
          </w:tcPr>
          <w:p>
            <w:pPr>
              <w:spacing w:after="0"/>
              <w:rPr>
                <w:sz w:val="23"/>
                <w:szCs w:val="23"/>
                <w:color w:val="auto"/>
              </w:rPr>
            </w:pPr>
          </w:p>
        </w:tc>
        <w:tc>
          <w:tcPr>
            <w:tcW w:w="900" w:type="dxa"/>
            <w:vAlign w:val="bottom"/>
          </w:tcPr>
          <w:p>
            <w:pPr>
              <w:ind w:left="100"/>
              <w:spacing w:after="0"/>
              <w:rPr>
                <w:sz w:val="20"/>
                <w:szCs w:val="20"/>
                <w:color w:val="auto"/>
              </w:rPr>
            </w:pPr>
            <w:r>
              <w:rPr>
                <w:rFonts w:ascii="Arial" w:cs="Arial" w:eastAsia="Arial" w:hAnsi="Arial"/>
                <w:sz w:val="16"/>
                <w:szCs w:val="16"/>
                <w:color w:val="auto"/>
              </w:rPr>
              <w:t>Tin</w:t>
            </w:r>
          </w:p>
        </w:tc>
        <w:tc>
          <w:tcPr>
            <w:tcW w:w="20" w:type="dxa"/>
            <w:vAlign w:val="bottom"/>
          </w:tcPr>
          <w:p>
            <w:pPr>
              <w:spacing w:after="0"/>
              <w:rPr>
                <w:sz w:val="23"/>
                <w:szCs w:val="23"/>
                <w:color w:val="auto"/>
              </w:rPr>
            </w:pPr>
          </w:p>
        </w:tc>
        <w:tc>
          <w:tcPr>
            <w:tcW w:w="2560" w:type="dxa"/>
            <w:vAlign w:val="bottom"/>
          </w:tcPr>
          <w:p>
            <w:pPr>
              <w:ind w:left="80"/>
              <w:spacing w:after="0"/>
              <w:rPr>
                <w:sz w:val="20"/>
                <w:szCs w:val="20"/>
                <w:color w:val="auto"/>
              </w:rPr>
            </w:pPr>
            <w:r>
              <w:rPr>
                <w:rFonts w:ascii="Arial" w:cs="Arial" w:eastAsia="Arial" w:hAnsi="Arial"/>
                <w:sz w:val="16"/>
                <w:szCs w:val="16"/>
                <w:color w:val="auto"/>
              </w:rPr>
              <w:t>PT Prima Timah Utama</w:t>
            </w:r>
          </w:p>
        </w:tc>
        <w:tc>
          <w:tcPr>
            <w:tcW w:w="2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20" w:type="dxa"/>
            <w:vAlign w:val="bottom"/>
          </w:tcPr>
          <w:p>
            <w:pPr>
              <w:spacing w:after="0"/>
              <w:rPr>
                <w:sz w:val="23"/>
                <w:szCs w:val="23"/>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499"/>
        <w:spacing w:after="0"/>
        <w:rPr>
          <w:sz w:val="20"/>
          <w:szCs w:val="20"/>
          <w:color w:val="auto"/>
        </w:rPr>
      </w:pPr>
      <w:r>
        <w:rPr>
          <w:rFonts w:ascii="Arial" w:cs="Arial" w:eastAsia="Arial" w:hAnsi="Arial"/>
          <w:sz w:val="20"/>
          <w:szCs w:val="20"/>
          <w:color w:val="002052"/>
        </w:rPr>
        <w:t>16</w:t>
      </w:r>
    </w:p>
    <w:p>
      <w:pPr>
        <w:sectPr>
          <w:pgSz w:w="11900" w:h="16838" w:orient="portrait"/>
          <w:cols w:equalWidth="0" w:num="1">
            <w:col w:w="9019"/>
          </w:cols>
          <w:pgMar w:left="1440" w:top="1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4"/>
          <w:szCs w:val="14"/>
          <w:color w:val="auto"/>
        </w:rPr>
        <w:t>CID003868</w:t>
      </w:r>
      <w:r>
        <w:rPr>
          <w:sz w:val="20"/>
          <w:szCs w:val="20"/>
          <w:color w:val="auto"/>
        </w:rPr>
        <w:tab/>
      </w:r>
      <w:r>
        <w:rPr>
          <w:rFonts w:ascii="Arial" w:cs="Arial" w:eastAsia="Arial" w:hAnsi="Arial"/>
          <w:sz w:val="14"/>
          <w:szCs w:val="14"/>
          <w:color w:val="auto"/>
        </w:rPr>
        <w:t>Tin</w:t>
      </w:r>
    </w:p>
    <w:p>
      <w:pPr>
        <w:spacing w:after="0" w:line="190"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4"/>
          <w:szCs w:val="14"/>
          <w:color w:val="auto"/>
        </w:rPr>
        <w:t>CID002593</w:t>
      </w:r>
      <w:r>
        <w:rPr>
          <w:sz w:val="20"/>
          <w:szCs w:val="20"/>
          <w:color w:val="auto"/>
        </w:rPr>
        <w:tab/>
      </w:r>
      <w:r>
        <w:rPr>
          <w:rFonts w:ascii="Arial" w:cs="Arial" w:eastAsia="Arial" w:hAnsi="Arial"/>
          <w:sz w:val="14"/>
          <w:szCs w:val="14"/>
          <w:color w:val="auto"/>
        </w:rPr>
        <w:t>Tin</w:t>
      </w:r>
    </w:p>
    <w:p>
      <w:pPr>
        <w:spacing w:after="0" w:line="109"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4"/>
          <w:szCs w:val="14"/>
          <w:color w:val="auto"/>
        </w:rPr>
        <w:t>CID001477</w:t>
      </w:r>
      <w:r>
        <w:rPr>
          <w:sz w:val="20"/>
          <w:szCs w:val="20"/>
          <w:color w:val="auto"/>
        </w:rPr>
        <w:tab/>
      </w:r>
      <w:r>
        <w:rPr>
          <w:rFonts w:ascii="Arial" w:cs="Arial" w:eastAsia="Arial" w:hAnsi="Arial"/>
          <w:sz w:val="14"/>
          <w:szCs w:val="14"/>
          <w:color w:val="auto"/>
        </w:rPr>
        <w:t>Tin</w:t>
      </w:r>
    </w:p>
    <w:p>
      <w:pPr>
        <w:spacing w:after="0" w:line="109"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4"/>
          <w:szCs w:val="14"/>
          <w:color w:val="auto"/>
        </w:rPr>
        <w:t>CID001482</w:t>
      </w:r>
      <w:r>
        <w:rPr>
          <w:sz w:val="20"/>
          <w:szCs w:val="20"/>
          <w:color w:val="auto"/>
        </w:rPr>
        <w:tab/>
      </w:r>
      <w:r>
        <w:rPr>
          <w:rFonts w:ascii="Arial" w:cs="Arial" w:eastAsia="Arial" w:hAnsi="Arial"/>
          <w:sz w:val="14"/>
          <w:szCs w:val="14"/>
          <w:color w:val="auto"/>
        </w:rPr>
        <w:t>Tin</w:t>
      </w:r>
    </w:p>
    <w:p>
      <w:pPr>
        <w:spacing w:after="0" w:line="204"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4"/>
          <w:szCs w:val="14"/>
          <w:color w:val="auto"/>
        </w:rPr>
        <w:t>CID002706</w:t>
      </w:r>
      <w:r>
        <w:rPr>
          <w:sz w:val="20"/>
          <w:szCs w:val="20"/>
          <w:color w:val="auto"/>
        </w:rPr>
        <w:tab/>
      </w:r>
      <w:r>
        <w:rPr>
          <w:rFonts w:ascii="Arial" w:cs="Arial" w:eastAsia="Arial" w:hAnsi="Arial"/>
          <w:sz w:val="14"/>
          <w:szCs w:val="14"/>
          <w:color w:val="auto"/>
        </w:rPr>
        <w:t>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PT Putera Sarana Shakti (PT PSS)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PT Rajehan Ariq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PT Timah Tbk Kundur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PT Timah Tbk Mentok</w:t>
      </w:r>
    </w:p>
    <w:p>
      <w:pPr>
        <w:spacing w:after="0" w:line="73"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Resind Industria e Comercio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INDONESIA</w:t>
      </w:r>
      <w:r>
        <w:rPr>
          <w:sz w:val="20"/>
          <w:szCs w:val="20"/>
          <w:color w:val="auto"/>
        </w:rPr>
        <w:tab/>
      </w:r>
      <w:r>
        <w:rPr>
          <w:rFonts w:ascii="Arial" w:cs="Arial" w:eastAsia="Arial" w:hAnsi="Arial"/>
          <w:sz w:val="16"/>
          <w:szCs w:val="16"/>
          <w:color w:val="auto"/>
        </w:rPr>
        <w:t>RMI (members / partners)</w:t>
      </w:r>
    </w:p>
    <w:p>
      <w:pPr>
        <w:spacing w:after="0" w:line="167"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INDONESIA</w:t>
      </w:r>
      <w:r>
        <w:rPr>
          <w:sz w:val="20"/>
          <w:szCs w:val="20"/>
          <w:color w:val="auto"/>
        </w:rPr>
        <w:tab/>
      </w:r>
      <w:r>
        <w:rPr>
          <w:rFonts w:ascii="Arial" w:cs="Arial" w:eastAsia="Arial" w:hAnsi="Arial"/>
          <w:sz w:val="16"/>
          <w:szCs w:val="16"/>
          <w:color w:val="auto"/>
        </w:rPr>
        <w:t>RMI (members / partners)</w:t>
      </w:r>
    </w:p>
    <w:p>
      <w:pPr>
        <w:spacing w:after="0" w:line="8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INDONESIA</w:t>
      </w:r>
      <w:r>
        <w:rPr>
          <w:sz w:val="20"/>
          <w:szCs w:val="20"/>
          <w:color w:val="auto"/>
        </w:rPr>
        <w:tab/>
      </w:r>
      <w:r>
        <w:rPr>
          <w:rFonts w:ascii="Arial" w:cs="Arial" w:eastAsia="Arial" w:hAnsi="Arial"/>
          <w:sz w:val="16"/>
          <w:szCs w:val="16"/>
          <w:color w:val="auto"/>
        </w:rPr>
        <w:t>RMI (members / partners)</w:t>
      </w:r>
    </w:p>
    <w:p>
      <w:pPr>
        <w:spacing w:after="0" w:line="8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INDONESIA</w:t>
      </w:r>
      <w:r>
        <w:rPr>
          <w:sz w:val="20"/>
          <w:szCs w:val="20"/>
          <w:color w:val="auto"/>
        </w:rPr>
        <w:tab/>
      </w:r>
      <w:r>
        <w:rPr>
          <w:rFonts w:ascii="Arial" w:cs="Arial" w:eastAsia="Arial" w:hAnsi="Arial"/>
          <w:sz w:val="16"/>
          <w:szCs w:val="16"/>
          <w:color w:val="auto"/>
        </w:rPr>
        <w:t>RMI (members / partners)</w:t>
      </w:r>
    </w:p>
    <w:p>
      <w:pPr>
        <w:spacing w:after="0" w:line="181"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BRAZIL</w:t>
      </w:r>
      <w:r>
        <w:rPr>
          <w:sz w:val="20"/>
          <w:szCs w:val="20"/>
          <w:color w:val="auto"/>
        </w:rPr>
        <w:tab/>
      </w:r>
      <w:r>
        <w:rPr>
          <w:rFonts w:ascii="Arial" w:cs="Arial" w:eastAsia="Arial" w:hAnsi="Arial"/>
          <w:sz w:val="16"/>
          <w:szCs w:val="16"/>
          <w:color w:val="auto"/>
        </w:rPr>
        <w:t>RMI (members / partners)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ectPr>
          <w:pgSz w:w="11900" w:h="16838" w:orient="portrait"/>
          <w:cols w:equalWidth="0" w:num="3">
            <w:col w:w="1860" w:space="700"/>
            <w:col w:w="2100" w:space="480"/>
            <w:col w:w="3879"/>
          </w:cols>
          <w:pgMar w:left="1440" w:top="120" w:right="1440" w:bottom="0" w:gutter="0" w:footer="0" w:header="0"/>
          <w:type w:val="continuous"/>
        </w:sectPr>
      </w:pPr>
    </w:p>
    <w:bookmarkStart w:id="17" w:name="page18"/>
    <w:bookmarkEnd w:id="17"/>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50" w:type="dxa"/>
        <w:tblCellMar>
          <w:top w:w="0" w:type="dxa"/>
          <w:left w:w="0" w:type="dxa"/>
          <w:bottom w:w="0" w:type="dxa"/>
          <w:right w:w="0" w:type="dxa"/>
        </w:tblCellMar>
      </w:tblPr>
      <w:tr>
        <w:trPr>
          <w:trHeight w:val="184"/>
        </w:trPr>
        <w:tc>
          <w:tcPr>
            <w:tcW w:w="1220" w:type="dxa"/>
            <w:vAlign w:val="bottom"/>
            <w:tcBorders>
              <w:left w:val="single" w:sz="8" w:color="0070C0"/>
              <w:right w:val="single" w:sz="8" w:color="0070C0"/>
            </w:tcBorders>
          </w:tcPr>
          <w:p>
            <w:pPr>
              <w:ind w:left="120"/>
              <w:spacing w:after="0"/>
              <w:rPr>
                <w:sz w:val="20"/>
                <w:szCs w:val="20"/>
                <w:color w:val="auto"/>
              </w:rPr>
            </w:pPr>
            <w:r>
              <w:rPr>
                <w:rFonts w:ascii="Arial" w:cs="Arial" w:eastAsia="Arial" w:hAnsi="Arial"/>
                <w:sz w:val="16"/>
                <w:szCs w:val="16"/>
                <w:color w:val="auto"/>
              </w:rPr>
              <w:t>CID001539</w:t>
            </w:r>
          </w:p>
        </w:tc>
        <w:tc>
          <w:tcPr>
            <w:tcW w:w="920" w:type="dxa"/>
            <w:vAlign w:val="bottom"/>
            <w:tcBorders>
              <w:right w:val="single" w:sz="8" w:color="0070C0"/>
            </w:tcBorders>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Borders>
              <w:right w:val="single" w:sz="8" w:color="0070C0"/>
            </w:tcBorders>
          </w:tcPr>
          <w:p>
            <w:pPr>
              <w:ind w:left="80"/>
              <w:spacing w:after="0"/>
              <w:rPr>
                <w:sz w:val="20"/>
                <w:szCs w:val="20"/>
                <w:color w:val="auto"/>
              </w:rPr>
            </w:pPr>
            <w:r>
              <w:rPr>
                <w:rFonts w:ascii="Arial" w:cs="Arial" w:eastAsia="Arial" w:hAnsi="Arial"/>
                <w:sz w:val="16"/>
                <w:szCs w:val="16"/>
                <w:color w:val="auto"/>
              </w:rPr>
              <w:t>Rui Da Hung</w:t>
            </w:r>
          </w:p>
        </w:tc>
        <w:tc>
          <w:tcPr>
            <w:tcW w:w="1480" w:type="dxa"/>
            <w:vAlign w:val="bottom"/>
            <w:tcBorders>
              <w:right w:val="single" w:sz="8" w:color="0070C0"/>
            </w:tcBorders>
          </w:tcPr>
          <w:p>
            <w:pPr>
              <w:ind w:left="80"/>
              <w:spacing w:after="0"/>
              <w:rPr>
                <w:sz w:val="20"/>
                <w:szCs w:val="20"/>
                <w:color w:val="auto"/>
              </w:rPr>
            </w:pPr>
            <w:r>
              <w:rPr>
                <w:rFonts w:ascii="Arial" w:cs="Arial" w:eastAsia="Arial" w:hAnsi="Arial"/>
                <w:sz w:val="16"/>
                <w:szCs w:val="16"/>
                <w:color w:val="auto"/>
              </w:rPr>
              <w:t>PROVINCE OF</w:t>
            </w:r>
          </w:p>
        </w:tc>
        <w:tc>
          <w:tcPr>
            <w:tcW w:w="2120" w:type="dxa"/>
            <w:vAlign w:val="bottom"/>
            <w:tcBorders>
              <w:right w:val="single" w:sz="8" w:color="0070C0"/>
            </w:tcBorders>
          </w:tcPr>
          <w:p>
            <w:pPr>
              <w:ind w:left="100"/>
              <w:spacing w:after="0"/>
              <w:rPr>
                <w:sz w:val="20"/>
                <w:szCs w:val="20"/>
                <w:color w:val="auto"/>
              </w:rPr>
            </w:pPr>
            <w:r>
              <w:rPr>
                <w:rFonts w:ascii="Arial" w:cs="Arial" w:eastAsia="Arial" w:hAnsi="Arial"/>
                <w:sz w:val="16"/>
                <w:szCs w:val="16"/>
                <w:color w:val="auto"/>
              </w:rPr>
              <w:t>RMI (members / partners)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20" w:type="dxa"/>
            <w:vAlign w:val="bottom"/>
            <w:tcBorders>
              <w:left w:val="single" w:sz="8" w:color="0070C0"/>
              <w:right w:val="single" w:sz="8" w:color="0070C0"/>
            </w:tcBorders>
          </w:tcPr>
          <w:p>
            <w:pPr>
              <w:ind w:left="120"/>
              <w:spacing w:after="0" w:line="148" w:lineRule="exact"/>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tcPr>
          <w:p>
            <w:pPr>
              <w:ind w:left="100"/>
              <w:spacing w:after="0"/>
              <w:rPr>
                <w:sz w:val="20"/>
                <w:szCs w:val="20"/>
                <w:color w:val="auto"/>
              </w:rPr>
            </w:pPr>
            <w:r>
              <w:rPr>
                <w:rFonts w:ascii="Arial" w:cs="Arial" w:eastAsia="Arial" w:hAnsi="Arial"/>
                <w:sz w:val="16"/>
                <w:szCs w:val="16"/>
                <w:b w:val="1"/>
                <w:bCs w:val="1"/>
                <w:color w:val="FFFFFF"/>
              </w:rPr>
              <w:t>Metal</w:t>
            </w:r>
          </w:p>
        </w:tc>
        <w:tc>
          <w:tcPr>
            <w:tcW w:w="2580" w:type="dxa"/>
            <w:vAlign w:val="bottom"/>
            <w:tcBorders>
              <w:right w:val="single" w:sz="8" w:color="0070C0"/>
            </w:tcBorders>
            <w:vMerge w:val="restart"/>
          </w:tcPr>
          <w:p>
            <w:pPr>
              <w:ind w:left="80"/>
              <w:spacing w:after="0"/>
              <w:rPr>
                <w:sz w:val="20"/>
                <w:szCs w:val="20"/>
                <w:color w:val="auto"/>
              </w:rPr>
            </w:pPr>
            <w:r>
              <w:rPr>
                <w:rFonts w:ascii="Arial" w:cs="Arial" w:eastAsia="Arial" w:hAnsi="Arial"/>
                <w:sz w:val="16"/>
                <w:szCs w:val="16"/>
                <w:b w:val="1"/>
                <w:bCs w:val="1"/>
                <w:color w:val="FFFFFF"/>
              </w:rPr>
              <w:t>Smelter Name</w:t>
            </w:r>
          </w:p>
        </w:tc>
        <w:tc>
          <w:tcPr>
            <w:tcW w:w="1480" w:type="dxa"/>
            <w:vAlign w:val="bottom"/>
            <w:tcBorders>
              <w:right w:val="single" w:sz="8" w:color="0070C0"/>
            </w:tcBorders>
          </w:tcPr>
          <w:p>
            <w:pPr>
              <w:ind w:left="80"/>
              <w:spacing w:after="0" w:line="148" w:lineRule="exact"/>
              <w:rPr>
                <w:sz w:val="20"/>
                <w:szCs w:val="20"/>
                <w:color w:val="auto"/>
              </w:rPr>
            </w:pPr>
            <w:r>
              <w:rPr>
                <w:rFonts w:ascii="Arial" w:cs="Arial" w:eastAsia="Arial" w:hAnsi="Arial"/>
                <w:sz w:val="16"/>
                <w:szCs w:val="16"/>
                <w:color w:val="auto"/>
              </w:rPr>
              <w:t>CHINA</w:t>
            </w:r>
          </w:p>
        </w:tc>
        <w:tc>
          <w:tcPr>
            <w:tcW w:w="2120" w:type="dxa"/>
            <w:vAlign w:val="bottom"/>
            <w:tcBorders>
              <w:right w:val="single" w:sz="8" w:color="0070C0"/>
            </w:tcBorders>
            <w:vMerge w:val="restart"/>
          </w:tcPr>
          <w:p>
            <w:pPr>
              <w:ind w:left="100"/>
              <w:spacing w:after="0"/>
              <w:rPr>
                <w:sz w:val="20"/>
                <w:szCs w:val="20"/>
                <w:color w:val="auto"/>
              </w:rPr>
            </w:pPr>
            <w:r>
              <w:rPr>
                <w:rFonts w:ascii="Arial" w:cs="Arial" w:eastAsia="Arial" w:hAnsi="Arial"/>
                <w:sz w:val="16"/>
                <w:szCs w:val="16"/>
                <w:b w:val="1"/>
                <w:bCs w:val="1"/>
                <w:color w:val="FFFFFF"/>
              </w:rPr>
              <w:t>Auditor Name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0070C0"/>
              <w:right w:val="single" w:sz="8" w:color="0070C0"/>
            </w:tcBorders>
          </w:tcPr>
          <w:p>
            <w:pPr>
              <w:ind w:left="120"/>
              <w:spacing w:after="0" w:line="148" w:lineRule="exact"/>
              <w:rPr>
                <w:sz w:val="20"/>
                <w:szCs w:val="20"/>
                <w:color w:val="auto"/>
              </w:rPr>
            </w:pPr>
            <w:r>
              <w:rPr>
                <w:rFonts w:ascii="Arial" w:cs="Arial" w:eastAsia="Arial" w:hAnsi="Arial"/>
                <w:sz w:val="16"/>
                <w:szCs w:val="16"/>
                <w:b w:val="1"/>
                <w:bCs w:val="1"/>
                <w:color w:val="FFFFFF"/>
              </w:rPr>
              <w:t>Identification</w:t>
            </w:r>
          </w:p>
        </w:tc>
        <w:tc>
          <w:tcPr>
            <w:tcW w:w="920" w:type="dxa"/>
            <w:vAlign w:val="bottom"/>
            <w:tcBorders>
              <w:right w:val="single" w:sz="8" w:color="0070C0"/>
            </w:tcBorders>
            <w:vMerge w:val="continue"/>
          </w:tcPr>
          <w:p>
            <w:pPr>
              <w:spacing w:after="0"/>
              <w:rPr>
                <w:sz w:val="17"/>
                <w:szCs w:val="17"/>
                <w:color w:val="auto"/>
              </w:rPr>
            </w:pPr>
          </w:p>
        </w:tc>
        <w:tc>
          <w:tcPr>
            <w:tcW w:w="2580" w:type="dxa"/>
            <w:vAlign w:val="bottom"/>
            <w:tcBorders>
              <w:right w:val="single" w:sz="8" w:color="0070C0"/>
            </w:tcBorders>
            <w:vMerge w:val="continue"/>
          </w:tcPr>
          <w:p>
            <w:pPr>
              <w:spacing w:after="0"/>
              <w:rPr>
                <w:sz w:val="17"/>
                <w:szCs w:val="17"/>
                <w:color w:val="auto"/>
              </w:rPr>
            </w:pPr>
          </w:p>
        </w:tc>
        <w:tc>
          <w:tcPr>
            <w:tcW w:w="1480" w:type="dxa"/>
            <w:vAlign w:val="bottom"/>
            <w:tcBorders>
              <w:right w:val="single" w:sz="8" w:color="0070C0"/>
            </w:tcBorders>
          </w:tcPr>
          <w:p>
            <w:pPr>
              <w:ind w:left="80"/>
              <w:spacing w:after="0" w:line="148" w:lineRule="exact"/>
              <w:rPr>
                <w:sz w:val="20"/>
                <w:szCs w:val="20"/>
                <w:color w:val="auto"/>
              </w:rPr>
            </w:pPr>
            <w:r>
              <w:rPr>
                <w:rFonts w:ascii="Arial" w:cs="Arial" w:eastAsia="Arial" w:hAnsi="Arial"/>
                <w:sz w:val="16"/>
                <w:szCs w:val="16"/>
                <w:b w:val="1"/>
                <w:bCs w:val="1"/>
                <w:color w:val="FFFFFF"/>
              </w:rPr>
              <w:t>Smelter Country</w:t>
            </w:r>
          </w:p>
        </w:tc>
        <w:tc>
          <w:tcPr>
            <w:tcW w:w="2120" w:type="dxa"/>
            <w:vAlign w:val="bottom"/>
            <w:tcBorders>
              <w:right w:val="single" w:sz="8" w:color="0070C0"/>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20"/>
              <w:spacing w:after="0" w:line="148" w:lineRule="exact"/>
              <w:rPr>
                <w:sz w:val="20"/>
                <w:szCs w:val="20"/>
                <w:color w:val="auto"/>
              </w:rPr>
            </w:pPr>
            <w:r>
              <w:rPr>
                <w:rFonts w:ascii="Arial" w:cs="Arial" w:eastAsia="Arial" w:hAnsi="Arial"/>
                <w:sz w:val="16"/>
                <w:szCs w:val="16"/>
                <w:color w:val="auto"/>
              </w:rPr>
              <w:t>CID001758</w:t>
            </w:r>
          </w:p>
        </w:tc>
        <w:tc>
          <w:tcPr>
            <w:tcW w:w="920" w:type="dxa"/>
            <w:vAlign w:val="bottom"/>
          </w:tcPr>
          <w:p>
            <w:pPr>
              <w:ind w:left="100"/>
              <w:spacing w:after="0" w:line="148" w:lineRule="exact"/>
              <w:rPr>
                <w:sz w:val="20"/>
                <w:szCs w:val="20"/>
                <w:color w:val="auto"/>
              </w:rPr>
            </w:pPr>
            <w:r>
              <w:rPr>
                <w:rFonts w:ascii="Arial" w:cs="Arial" w:eastAsia="Arial" w:hAnsi="Arial"/>
                <w:sz w:val="16"/>
                <w:szCs w:val="16"/>
                <w:color w:val="auto"/>
              </w:rPr>
              <w:t>Tin</w:t>
            </w:r>
          </w:p>
        </w:tc>
        <w:tc>
          <w:tcPr>
            <w:tcW w:w="2580" w:type="dxa"/>
            <w:vAlign w:val="bottom"/>
          </w:tcPr>
          <w:p>
            <w:pPr>
              <w:ind w:left="80"/>
              <w:spacing w:after="0" w:line="148" w:lineRule="exact"/>
              <w:rPr>
                <w:sz w:val="20"/>
                <w:szCs w:val="20"/>
                <w:color w:val="auto"/>
              </w:rPr>
            </w:pPr>
            <w:r>
              <w:rPr>
                <w:rFonts w:ascii="Arial" w:cs="Arial" w:eastAsia="Arial" w:hAnsi="Arial"/>
                <w:sz w:val="16"/>
                <w:szCs w:val="16"/>
                <w:color w:val="auto"/>
              </w:rPr>
              <w:t>Soft Metais Ltda.</w:t>
            </w:r>
          </w:p>
        </w:tc>
        <w:tc>
          <w:tcPr>
            <w:tcW w:w="1480" w:type="dxa"/>
            <w:vAlign w:val="bottom"/>
          </w:tcPr>
          <w:p>
            <w:pPr>
              <w:ind w:left="80"/>
              <w:spacing w:after="0" w:line="148" w:lineRule="exact"/>
              <w:rPr>
                <w:sz w:val="20"/>
                <w:szCs w:val="20"/>
                <w:color w:val="auto"/>
              </w:rPr>
            </w:pPr>
            <w:r>
              <w:rPr>
                <w:rFonts w:ascii="Arial" w:cs="Arial" w:eastAsia="Arial" w:hAnsi="Arial"/>
                <w:sz w:val="16"/>
                <w:szCs w:val="16"/>
                <w:color w:val="auto"/>
              </w:rPr>
              <w:t>BRAZIL</w:t>
            </w:r>
          </w:p>
        </w:tc>
        <w:tc>
          <w:tcPr>
            <w:tcW w:w="2120" w:type="dxa"/>
            <w:vAlign w:val="bottom"/>
          </w:tcPr>
          <w:p>
            <w:pPr>
              <w:ind w:left="100"/>
              <w:spacing w:after="0" w:line="148" w:lineRule="exact"/>
              <w:rPr>
                <w:sz w:val="20"/>
                <w:szCs w:val="20"/>
                <w:color w:val="auto"/>
              </w:rPr>
            </w:pPr>
            <w:r>
              <w:rPr>
                <w:rFonts w:ascii="Arial" w:cs="Arial" w:eastAsia="Arial" w:hAnsi="Arial"/>
                <w:sz w:val="16"/>
                <w:szCs w:val="16"/>
                <w:color w:val="auto"/>
              </w:rPr>
              <w:t>RMI (members / partners)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220" w:type="dxa"/>
            <w:vAlign w:val="bottom"/>
          </w:tcPr>
          <w:p>
            <w:pPr>
              <w:ind w:left="120"/>
              <w:spacing w:after="0"/>
              <w:rPr>
                <w:sz w:val="20"/>
                <w:szCs w:val="20"/>
                <w:color w:val="auto"/>
              </w:rPr>
            </w:pPr>
            <w:r>
              <w:rPr>
                <w:rFonts w:ascii="Arial" w:cs="Arial" w:eastAsia="Arial" w:hAnsi="Arial"/>
                <w:sz w:val="16"/>
                <w:szCs w:val="16"/>
                <w:color w:val="auto"/>
              </w:rPr>
              <w:t>CID002756</w:t>
            </w:r>
          </w:p>
        </w:tc>
        <w:tc>
          <w:tcPr>
            <w:tcW w:w="920" w:type="dxa"/>
            <w:vAlign w:val="bottom"/>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Super Ligas</w:t>
            </w:r>
          </w:p>
        </w:tc>
        <w:tc>
          <w:tcPr>
            <w:tcW w:w="1480" w:type="dxa"/>
            <w:vAlign w:val="bottom"/>
          </w:tcPr>
          <w:p>
            <w:pPr>
              <w:ind w:left="80"/>
              <w:spacing w:after="0"/>
              <w:rPr>
                <w:sz w:val="20"/>
                <w:szCs w:val="20"/>
                <w:color w:val="auto"/>
              </w:rPr>
            </w:pPr>
            <w:r>
              <w:rPr>
                <w:rFonts w:ascii="Arial" w:cs="Arial" w:eastAsia="Arial" w:hAnsi="Arial"/>
                <w:sz w:val="16"/>
                <w:szCs w:val="16"/>
                <w:color w:val="auto"/>
              </w:rPr>
              <w:t>BRAZIL</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70"/>
        </w:trPr>
        <w:tc>
          <w:tcPr>
            <w:tcW w:w="1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tcPr>
          <w:p>
            <w:pPr>
              <w:ind w:left="80"/>
              <w:spacing w:after="0" w:line="168" w:lineRule="exact"/>
              <w:rPr>
                <w:sz w:val="20"/>
                <w:szCs w:val="20"/>
                <w:color w:val="auto"/>
              </w:rPr>
            </w:pPr>
            <w:r>
              <w:rPr>
                <w:rFonts w:ascii="Arial" w:cs="Arial" w:eastAsia="Arial" w:hAnsi="Arial"/>
                <w:sz w:val="16"/>
                <w:szCs w:val="16"/>
                <w:color w:val="auto"/>
              </w:rPr>
              <w:t>Takehara PVD Materials Plant /</w:t>
            </w:r>
          </w:p>
        </w:tc>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20" w:type="dxa"/>
            <w:vAlign w:val="bottom"/>
          </w:tcPr>
          <w:p>
            <w:pPr>
              <w:ind w:left="120"/>
              <w:spacing w:after="0"/>
              <w:rPr>
                <w:sz w:val="20"/>
                <w:szCs w:val="20"/>
                <w:color w:val="auto"/>
              </w:rPr>
            </w:pPr>
            <w:r>
              <w:rPr>
                <w:rFonts w:ascii="Arial" w:cs="Arial" w:eastAsia="Arial" w:hAnsi="Arial"/>
                <w:sz w:val="16"/>
                <w:szCs w:val="16"/>
                <w:color w:val="auto"/>
              </w:rPr>
              <w:t>CID004403</w:t>
            </w:r>
          </w:p>
        </w:tc>
        <w:tc>
          <w:tcPr>
            <w:tcW w:w="920" w:type="dxa"/>
            <w:vAlign w:val="bottom"/>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PVD Materials Division of MITSUI</w:t>
            </w:r>
          </w:p>
        </w:tc>
        <w:tc>
          <w:tcPr>
            <w:tcW w:w="1480" w:type="dxa"/>
            <w:vAlign w:val="bottom"/>
          </w:tcPr>
          <w:p>
            <w:pPr>
              <w:ind w:left="80"/>
              <w:spacing w:after="0"/>
              <w:rPr>
                <w:sz w:val="20"/>
                <w:szCs w:val="20"/>
                <w:color w:val="auto"/>
              </w:rPr>
            </w:pPr>
            <w:r>
              <w:rPr>
                <w:rFonts w:ascii="Arial" w:cs="Arial" w:eastAsia="Arial" w:hAnsi="Arial"/>
                <w:sz w:val="16"/>
                <w:szCs w:val="16"/>
                <w:color w:val="auto"/>
              </w:rPr>
              <w:t>JAPAN</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6"/>
                <w:szCs w:val="16"/>
                <w:color w:val="auto"/>
              </w:rPr>
              <w:t>MINING &amp; SMELTING CO., LTD.</w:t>
            </w:r>
          </w:p>
        </w:tc>
        <w:tc>
          <w:tcPr>
            <w:tcW w:w="1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ind w:left="120"/>
              <w:spacing w:after="0" w:line="171" w:lineRule="exact"/>
              <w:rPr>
                <w:sz w:val="20"/>
                <w:szCs w:val="20"/>
                <w:color w:val="auto"/>
              </w:rPr>
            </w:pPr>
            <w:r>
              <w:rPr>
                <w:rFonts w:ascii="Arial" w:cs="Arial" w:eastAsia="Arial" w:hAnsi="Arial"/>
                <w:sz w:val="16"/>
                <w:szCs w:val="16"/>
                <w:color w:val="auto"/>
              </w:rPr>
              <w:t>CID001898</w:t>
            </w:r>
          </w:p>
        </w:tc>
        <w:tc>
          <w:tcPr>
            <w:tcW w:w="920" w:type="dxa"/>
            <w:vAlign w:val="bottom"/>
            <w:tcBorders>
              <w:bottom w:val="single" w:sz="8" w:color="auto"/>
            </w:tcBorders>
          </w:tcPr>
          <w:p>
            <w:pPr>
              <w:ind w:left="100"/>
              <w:spacing w:after="0" w:line="171" w:lineRule="exact"/>
              <w:rPr>
                <w:sz w:val="20"/>
                <w:szCs w:val="20"/>
                <w:color w:val="auto"/>
              </w:rPr>
            </w:pPr>
            <w:r>
              <w:rPr>
                <w:rFonts w:ascii="Arial" w:cs="Arial" w:eastAsia="Arial" w:hAnsi="Arial"/>
                <w:sz w:val="16"/>
                <w:szCs w:val="16"/>
                <w:color w:val="auto"/>
              </w:rPr>
              <w:t>Tin</w:t>
            </w:r>
          </w:p>
        </w:tc>
        <w:tc>
          <w:tcPr>
            <w:tcW w:w="2580" w:type="dxa"/>
            <w:vAlign w:val="bottom"/>
            <w:tcBorders>
              <w:bottom w:val="single" w:sz="8" w:color="auto"/>
            </w:tcBorders>
          </w:tcPr>
          <w:p>
            <w:pPr>
              <w:ind w:left="80"/>
              <w:spacing w:after="0" w:line="171" w:lineRule="exact"/>
              <w:rPr>
                <w:sz w:val="20"/>
                <w:szCs w:val="20"/>
                <w:color w:val="auto"/>
              </w:rPr>
            </w:pPr>
            <w:r>
              <w:rPr>
                <w:rFonts w:ascii="Arial" w:cs="Arial" w:eastAsia="Arial" w:hAnsi="Arial"/>
                <w:sz w:val="16"/>
                <w:szCs w:val="16"/>
                <w:color w:val="auto"/>
              </w:rPr>
              <w:t>Thaisarco</w:t>
            </w:r>
          </w:p>
        </w:tc>
        <w:tc>
          <w:tcPr>
            <w:tcW w:w="1480" w:type="dxa"/>
            <w:vAlign w:val="bottom"/>
            <w:tcBorders>
              <w:bottom w:val="single" w:sz="8" w:color="auto"/>
            </w:tcBorders>
          </w:tcPr>
          <w:p>
            <w:pPr>
              <w:ind w:left="80"/>
              <w:spacing w:after="0" w:line="171" w:lineRule="exact"/>
              <w:rPr>
                <w:sz w:val="20"/>
                <w:szCs w:val="20"/>
                <w:color w:val="auto"/>
              </w:rPr>
            </w:pPr>
            <w:r>
              <w:rPr>
                <w:rFonts w:ascii="Arial" w:cs="Arial" w:eastAsia="Arial" w:hAnsi="Arial"/>
                <w:sz w:val="16"/>
                <w:szCs w:val="16"/>
                <w:color w:val="auto"/>
              </w:rPr>
              <w:t>THAILAND</w:t>
            </w:r>
          </w:p>
        </w:tc>
        <w:tc>
          <w:tcPr>
            <w:tcW w:w="2140" w:type="dxa"/>
            <w:vAlign w:val="bottom"/>
            <w:tcBorders>
              <w:bottom w:val="single" w:sz="8" w:color="auto"/>
            </w:tcBorders>
            <w:gridSpan w:val="2"/>
          </w:tcPr>
          <w:p>
            <w:pPr>
              <w:ind w:left="100"/>
              <w:spacing w:after="0" w:line="171" w:lineRule="exact"/>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88"/>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CID002180</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Tin Smelting Branch of Yunnan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Tin Co., 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UNITED STATES</w:t>
            </w: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CID003325</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Tin Technology &amp; Refining</w:t>
            </w:r>
          </w:p>
        </w:tc>
        <w:tc>
          <w:tcPr>
            <w:tcW w:w="1480" w:type="dxa"/>
            <w:vAlign w:val="bottom"/>
            <w:vMerge w:val="continue"/>
          </w:tcPr>
          <w:p>
            <w:pPr>
              <w:spacing w:after="0"/>
              <w:rPr>
                <w:sz w:val="19"/>
                <w:szCs w:val="19"/>
                <w:color w:val="auto"/>
              </w:rPr>
            </w:pP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OF AMERICA</w:t>
            </w: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CID002036</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White Solder Metalurgia e</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BRAZIL</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line="178" w:lineRule="exact"/>
              <w:rPr>
                <w:sz w:val="20"/>
                <w:szCs w:val="20"/>
                <w:color w:val="auto"/>
              </w:rPr>
            </w:pPr>
            <w:r>
              <w:rPr>
                <w:rFonts w:ascii="Arial" w:cs="Arial" w:eastAsia="Arial" w:hAnsi="Arial"/>
                <w:sz w:val="16"/>
                <w:szCs w:val="16"/>
                <w:color w:val="auto"/>
              </w:rPr>
              <w:t>Mineracao Ltda.</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CID004724</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Woodcross Smelting Company</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UGANDA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Limited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CID002158</w:t>
            </w:r>
            <w:r>
              <w:rPr>
                <w:rFonts w:ascii="Arial" w:cs="Arial" w:eastAsia="Arial" w:hAnsi="Arial"/>
                <w:sz w:val="21"/>
                <w:szCs w:val="21"/>
                <w:color w:val="auto"/>
                <w:vertAlign w:val="superscript"/>
              </w:rPr>
              <w:t>2</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Yunnan Chengfeng Non-ferrous</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Metals Co., Ltd.</w:t>
            </w:r>
          </w:p>
        </w:tc>
        <w:tc>
          <w:tcPr>
            <w:tcW w:w="1480" w:type="dxa"/>
            <w:vAlign w:val="bottom"/>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vMerge w:val="continue"/>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CID003397</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Tin</w:t>
            </w:r>
          </w:p>
        </w:tc>
        <w:tc>
          <w:tcPr>
            <w:tcW w:w="2580" w:type="dxa"/>
            <w:vAlign w:val="bottom"/>
          </w:tcPr>
          <w:p>
            <w:pPr>
              <w:ind w:left="80"/>
              <w:spacing w:after="0"/>
              <w:rPr>
                <w:sz w:val="20"/>
                <w:szCs w:val="20"/>
                <w:color w:val="auto"/>
              </w:rPr>
            </w:pPr>
            <w:r>
              <w:rPr>
                <w:rFonts w:ascii="Arial" w:cs="Arial" w:eastAsia="Arial" w:hAnsi="Arial"/>
                <w:sz w:val="16"/>
                <w:szCs w:val="16"/>
                <w:color w:val="auto"/>
              </w:rPr>
              <w:t>Yunnan Yunfan Non-ferrous</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Metals Co., 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20"/>
              <w:spacing w:after="0"/>
              <w:rPr>
                <w:sz w:val="20"/>
                <w:szCs w:val="20"/>
                <w:color w:val="auto"/>
              </w:rPr>
            </w:pPr>
            <w:r>
              <w:rPr>
                <w:rFonts w:ascii="Arial" w:cs="Arial" w:eastAsia="Arial" w:hAnsi="Arial"/>
                <w:sz w:val="16"/>
                <w:szCs w:val="16"/>
                <w:color w:val="auto"/>
              </w:rPr>
              <w:t>CID000004</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A.L.M.T. Corp.</w:t>
            </w:r>
          </w:p>
        </w:tc>
        <w:tc>
          <w:tcPr>
            <w:tcW w:w="1480" w:type="dxa"/>
            <w:vAlign w:val="bottom"/>
          </w:tcPr>
          <w:p>
            <w:pPr>
              <w:ind w:left="80"/>
              <w:spacing w:after="0"/>
              <w:rPr>
                <w:sz w:val="20"/>
                <w:szCs w:val="20"/>
                <w:color w:val="auto"/>
              </w:rPr>
            </w:pPr>
            <w:r>
              <w:rPr>
                <w:rFonts w:ascii="Arial" w:cs="Arial" w:eastAsia="Arial" w:hAnsi="Arial"/>
                <w:sz w:val="16"/>
                <w:szCs w:val="16"/>
                <w:color w:val="auto"/>
              </w:rPr>
              <w:t>JAPAN</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9"/>
        </w:trPr>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CID002502</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Asia Tungsten Products Vietnam</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VIET NAM</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CID002641</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China Molybdenum Tungsten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CID000258</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Chongyi Zhangyuan Tungsten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CID003468</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Cronimet Brasil Ltda</w:t>
            </w:r>
          </w:p>
        </w:tc>
        <w:tc>
          <w:tcPr>
            <w:tcW w:w="1480" w:type="dxa"/>
            <w:vAlign w:val="bottom"/>
          </w:tcPr>
          <w:p>
            <w:pPr>
              <w:ind w:left="80"/>
              <w:spacing w:after="0"/>
              <w:rPr>
                <w:sz w:val="20"/>
                <w:szCs w:val="20"/>
                <w:color w:val="auto"/>
              </w:rPr>
            </w:pPr>
            <w:r>
              <w:rPr>
                <w:rFonts w:ascii="Arial" w:cs="Arial" w:eastAsia="Arial" w:hAnsi="Arial"/>
                <w:sz w:val="16"/>
                <w:szCs w:val="16"/>
                <w:color w:val="auto"/>
              </w:rPr>
              <w:t>BRAZIL</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1220" w:type="dxa"/>
            <w:vAlign w:val="bottom"/>
          </w:tcPr>
          <w:p>
            <w:pPr>
              <w:ind w:left="120"/>
              <w:spacing w:after="0"/>
              <w:rPr>
                <w:sz w:val="20"/>
                <w:szCs w:val="20"/>
                <w:color w:val="auto"/>
              </w:rPr>
            </w:pPr>
            <w:r>
              <w:rPr>
                <w:rFonts w:ascii="Arial" w:cs="Arial" w:eastAsia="Arial" w:hAnsi="Arial"/>
                <w:sz w:val="16"/>
                <w:szCs w:val="16"/>
                <w:color w:val="auto"/>
              </w:rPr>
              <w:t>CID003609</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Fujian Xinlu Tungsten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6"/>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CID002315</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Ganzhou Jiangwu Ferrotungsten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CID002494</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Ganzhou Seadragon W &amp; Mo</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47"/>
        </w:trPr>
        <w:tc>
          <w:tcPr>
            <w:tcW w:w="12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CID000568</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Global Tungsten &amp; Powders LLC</w:t>
            </w:r>
          </w:p>
        </w:tc>
        <w:tc>
          <w:tcPr>
            <w:tcW w:w="148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47"/>
        </w:trPr>
        <w:tc>
          <w:tcPr>
            <w:tcW w:w="12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OF AMERICA</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CID000218</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Guangdong Xianglu Tungsten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47"/>
        </w:trPr>
        <w:tc>
          <w:tcPr>
            <w:tcW w:w="12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Ltd.</w:t>
            </w:r>
          </w:p>
        </w:tc>
        <w:tc>
          <w:tcPr>
            <w:tcW w:w="1480" w:type="dxa"/>
            <w:vAlign w:val="bottom"/>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20"/>
              <w:spacing w:after="0"/>
              <w:rPr>
                <w:sz w:val="20"/>
                <w:szCs w:val="20"/>
                <w:color w:val="auto"/>
              </w:rPr>
            </w:pPr>
            <w:r>
              <w:rPr>
                <w:rFonts w:ascii="Arial" w:cs="Arial" w:eastAsia="Arial" w:hAnsi="Arial"/>
                <w:sz w:val="16"/>
                <w:szCs w:val="16"/>
                <w:color w:val="auto"/>
              </w:rPr>
              <w:t>CID002541</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H.C. Starck Tungsten GmbH</w:t>
            </w:r>
          </w:p>
        </w:tc>
        <w:tc>
          <w:tcPr>
            <w:tcW w:w="1480" w:type="dxa"/>
            <w:vAlign w:val="bottom"/>
          </w:tcPr>
          <w:p>
            <w:pPr>
              <w:ind w:left="80"/>
              <w:spacing w:after="0"/>
              <w:rPr>
                <w:sz w:val="20"/>
                <w:szCs w:val="20"/>
                <w:color w:val="auto"/>
              </w:rPr>
            </w:pPr>
            <w:r>
              <w:rPr>
                <w:rFonts w:ascii="Arial" w:cs="Arial" w:eastAsia="Arial" w:hAnsi="Arial"/>
                <w:sz w:val="16"/>
                <w:szCs w:val="16"/>
                <w:color w:val="auto"/>
              </w:rPr>
              <w:t>GERMANY</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0"/>
        </w:trPr>
        <w:tc>
          <w:tcPr>
            <w:tcW w:w="1220" w:type="dxa"/>
            <w:vAlign w:val="bottom"/>
          </w:tcPr>
          <w:p>
            <w:pPr>
              <w:ind w:left="120"/>
              <w:spacing w:after="0"/>
              <w:rPr>
                <w:sz w:val="20"/>
                <w:szCs w:val="20"/>
                <w:color w:val="auto"/>
              </w:rPr>
            </w:pPr>
            <w:r>
              <w:rPr>
                <w:rFonts w:ascii="Arial" w:cs="Arial" w:eastAsia="Arial" w:hAnsi="Arial"/>
                <w:sz w:val="16"/>
                <w:szCs w:val="16"/>
                <w:color w:val="auto"/>
              </w:rPr>
              <w:t>CID003417</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Hubei Green Tungsten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18"/>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CID000766</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Hunan Chenzhou Mining Co.,</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40" w:type="dxa"/>
            <w:vAlign w:val="bottom"/>
            <w:gridSpan w:val="2"/>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47"/>
        </w:trPr>
        <w:tc>
          <w:tcPr>
            <w:tcW w:w="12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Ltd.</w:t>
            </w:r>
          </w:p>
        </w:tc>
        <w:tc>
          <w:tcPr>
            <w:tcW w:w="1480" w:type="dxa"/>
            <w:vAlign w:val="bottom"/>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20"/>
              <w:spacing w:after="0"/>
              <w:rPr>
                <w:sz w:val="20"/>
                <w:szCs w:val="20"/>
                <w:color w:val="auto"/>
              </w:rPr>
            </w:pPr>
            <w:r>
              <w:rPr>
                <w:rFonts w:ascii="Arial" w:cs="Arial" w:eastAsia="Arial" w:hAnsi="Arial"/>
                <w:sz w:val="16"/>
                <w:szCs w:val="16"/>
                <w:color w:val="auto"/>
              </w:rPr>
              <w:t>CID000825</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Japan New Metals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JAPAN</w:t>
            </w:r>
          </w:p>
        </w:tc>
        <w:tc>
          <w:tcPr>
            <w:tcW w:w="2140" w:type="dxa"/>
            <w:vAlign w:val="bottom"/>
            <w:gridSpan w:val="2"/>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60" w:hanging="120"/>
        <w:spacing w:after="0"/>
        <w:tabs>
          <w:tab w:leader="none" w:pos="56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Yunnan Chengfeng Non-ferrous Metals Co., Ltd. was declared non conformant.</w:t>
      </w:r>
    </w:p>
    <w:p>
      <w:pPr>
        <w:spacing w:after="0" w:line="196" w:lineRule="exact"/>
        <w:rPr>
          <w:sz w:val="20"/>
          <w:szCs w:val="20"/>
          <w:color w:val="auto"/>
        </w:rPr>
      </w:pPr>
    </w:p>
    <w:p>
      <w:pPr>
        <w:jc w:val="center"/>
        <w:ind w:right="1499"/>
        <w:spacing w:after="0"/>
        <w:rPr>
          <w:sz w:val="20"/>
          <w:szCs w:val="20"/>
          <w:color w:val="auto"/>
        </w:rPr>
      </w:pPr>
      <w:r>
        <w:rPr>
          <w:rFonts w:ascii="Arial" w:cs="Arial" w:eastAsia="Arial" w:hAnsi="Arial"/>
          <w:sz w:val="20"/>
          <w:szCs w:val="20"/>
          <w:color w:val="002052"/>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000" w:type="dxa"/>
            <w:vAlign w:val="bottom"/>
            <w:vMerge w:val="restart"/>
          </w:tcPr>
          <w:p>
            <w:pPr>
              <w:spacing w:after="0"/>
              <w:rPr>
                <w:sz w:val="20"/>
                <w:szCs w:val="20"/>
                <w:color w:val="auto"/>
              </w:rPr>
            </w:pPr>
            <w:r>
              <w:rPr>
                <w:rFonts w:ascii="Arial" w:cs="Arial" w:eastAsia="Arial" w:hAnsi="Arial"/>
                <w:sz w:val="16"/>
                <w:szCs w:val="16"/>
                <w:color w:val="auto"/>
              </w:rPr>
              <w:t>CID002551</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Jiangwu H.C. Starck Tungsten</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CHINA</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Products Co., Ltd.</w:t>
            </w:r>
          </w:p>
        </w:tc>
        <w:tc>
          <w:tcPr>
            <w:tcW w:w="15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Arial" w:cs="Arial" w:eastAsia="Arial" w:hAnsi="Arial"/>
                <w:sz w:val="16"/>
                <w:szCs w:val="16"/>
                <w:color w:val="auto"/>
              </w:rPr>
              <w:t>CID002321</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Jiangxi Gan Bei Tungsten Co.,</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CHINA</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Ltd.</w:t>
            </w:r>
          </w:p>
        </w:tc>
        <w:tc>
          <w:tcPr>
            <w:tcW w:w="15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tcPr>
          <w:p>
            <w:pPr>
              <w:ind w:left="120"/>
              <w:spacing w:after="0"/>
              <w:rPr>
                <w:sz w:val="20"/>
                <w:szCs w:val="20"/>
                <w:color w:val="auto"/>
              </w:rPr>
            </w:pPr>
            <w:r>
              <w:rPr>
                <w:rFonts w:ascii="Arial" w:cs="Arial" w:eastAsia="Arial" w:hAnsi="Arial"/>
                <w:sz w:val="16"/>
                <w:szCs w:val="16"/>
                <w:color w:val="auto"/>
              </w:rPr>
              <w:t>Jiangxi Tonggu Non-ferrous</w:t>
            </w:r>
          </w:p>
        </w:tc>
        <w:tc>
          <w:tcPr>
            <w:tcW w:w="15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CID002318</w:t>
            </w:r>
          </w:p>
        </w:tc>
        <w:tc>
          <w:tcPr>
            <w:tcW w:w="980" w:type="dxa"/>
            <w:vAlign w:val="bottom"/>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Metallurgical &amp; Chemical Co.,</w:t>
            </w:r>
          </w:p>
        </w:tc>
        <w:tc>
          <w:tcPr>
            <w:tcW w:w="1500" w:type="dxa"/>
            <w:vAlign w:val="bottom"/>
          </w:tcPr>
          <w:p>
            <w:pPr>
              <w:ind w:left="120"/>
              <w:spacing w:after="0"/>
              <w:rPr>
                <w:sz w:val="20"/>
                <w:szCs w:val="20"/>
                <w:color w:val="auto"/>
              </w:rPr>
            </w:pPr>
            <w:r>
              <w:rPr>
                <w:rFonts w:ascii="Arial" w:cs="Arial" w:eastAsia="Arial" w:hAnsi="Arial"/>
                <w:sz w:val="16"/>
                <w:szCs w:val="16"/>
                <w:color w:val="auto"/>
              </w:rPr>
              <w:t>CHINA</w:t>
            </w:r>
          </w:p>
        </w:tc>
        <w:tc>
          <w:tcPr>
            <w:tcW w:w="1960" w:type="dxa"/>
            <w:vAlign w:val="bottom"/>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6"/>
                <w:szCs w:val="16"/>
                <w:color w:val="auto"/>
              </w:rPr>
              <w:t>Ltd.</w:t>
            </w: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Arial" w:cs="Arial" w:eastAsia="Arial" w:hAnsi="Arial"/>
                <w:sz w:val="16"/>
                <w:szCs w:val="16"/>
                <w:color w:val="auto"/>
              </w:rPr>
              <w:t>CID002317</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Jiangxi Xinsheng Tungsten</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CHINA</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Industry Co., Ltd.</w:t>
            </w:r>
          </w:p>
        </w:tc>
        <w:tc>
          <w:tcPr>
            <w:tcW w:w="15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Arial" w:cs="Arial" w:eastAsia="Arial" w:hAnsi="Arial"/>
                <w:sz w:val="16"/>
                <w:szCs w:val="16"/>
                <w:color w:val="auto"/>
              </w:rPr>
              <w:t>CID002316</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Jiangxi Yaosheng Tungsten Co.,</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CHINA</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Ltd.</w:t>
            </w:r>
          </w:p>
        </w:tc>
        <w:tc>
          <w:tcPr>
            <w:tcW w:w="15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Arial" w:cs="Arial" w:eastAsia="Arial" w:hAnsi="Arial"/>
                <w:sz w:val="16"/>
                <w:szCs w:val="16"/>
                <w:color w:val="auto"/>
              </w:rPr>
              <w:t>CID004619</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120"/>
              <w:spacing w:after="0"/>
              <w:rPr>
                <w:sz w:val="20"/>
                <w:szCs w:val="20"/>
                <w:color w:val="auto"/>
              </w:rPr>
            </w:pPr>
            <w:r>
              <w:rPr>
                <w:rFonts w:ascii="Arial" w:cs="Arial" w:eastAsia="Arial" w:hAnsi="Arial"/>
                <w:sz w:val="16"/>
                <w:szCs w:val="16"/>
                <w:color w:val="auto"/>
              </w:rPr>
              <w:t>KENEE MINING VIETNAM</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VIET NAM</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COMPANY LIMITED</w:t>
            </w:r>
          </w:p>
        </w:tc>
        <w:tc>
          <w:tcPr>
            <w:tcW w:w="15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Arial" w:cs="Arial" w:eastAsia="Arial" w:hAnsi="Arial"/>
                <w:sz w:val="16"/>
                <w:szCs w:val="16"/>
                <w:color w:val="auto"/>
              </w:rPr>
              <w:t>CID000966</w:t>
            </w:r>
          </w:p>
        </w:tc>
        <w:tc>
          <w:tcPr>
            <w:tcW w:w="980" w:type="dxa"/>
            <w:vAlign w:val="bottom"/>
            <w:vMerge w:val="restart"/>
          </w:tcPr>
          <w:p>
            <w:pPr>
              <w:ind w:left="200"/>
              <w:spacing w:after="0"/>
              <w:rPr>
                <w:sz w:val="20"/>
                <w:szCs w:val="20"/>
                <w:color w:val="auto"/>
              </w:rPr>
            </w:pPr>
            <w:r>
              <w:rPr>
                <w:rFonts w:ascii="Arial" w:cs="Arial" w:eastAsia="Arial" w:hAnsi="Arial"/>
                <w:sz w:val="16"/>
                <w:szCs w:val="16"/>
                <w:color w:val="auto"/>
              </w:rPr>
              <w:t>Tungsten</w:t>
            </w:r>
          </w:p>
        </w:tc>
        <w:tc>
          <w:tcPr>
            <w:tcW w:w="2580" w:type="dxa"/>
            <w:vAlign w:val="bottom"/>
            <w:vMerge w:val="restart"/>
          </w:tcPr>
          <w:p>
            <w:pPr>
              <w:ind w:left="120"/>
              <w:spacing w:after="0"/>
              <w:rPr>
                <w:sz w:val="20"/>
                <w:szCs w:val="20"/>
                <w:color w:val="auto"/>
              </w:rPr>
            </w:pPr>
            <w:r>
              <w:rPr>
                <w:rFonts w:ascii="Arial" w:cs="Arial" w:eastAsia="Arial" w:hAnsi="Arial"/>
                <w:sz w:val="16"/>
                <w:szCs w:val="16"/>
                <w:color w:val="auto"/>
              </w:rPr>
              <w:t>Kennametal Fallon</w:t>
            </w:r>
          </w:p>
        </w:tc>
        <w:tc>
          <w:tcPr>
            <w:tcW w:w="150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1960" w:type="dxa"/>
            <w:vAlign w:val="bottom"/>
            <w:vMerge w:val="restart"/>
          </w:tcPr>
          <w:p>
            <w:pPr>
              <w:ind w:left="120"/>
              <w:spacing w:after="0"/>
              <w:rPr>
                <w:sz w:val="20"/>
                <w:szCs w:val="20"/>
                <w:color w:val="auto"/>
              </w:rPr>
            </w:pPr>
            <w:r>
              <w:rPr>
                <w:rFonts w:ascii="Arial" w:cs="Arial" w:eastAsia="Arial" w:hAnsi="Arial"/>
                <w:sz w:val="16"/>
                <w:szCs w:val="16"/>
                <w:color w:val="auto"/>
                <w:w w:val="99"/>
              </w:rPr>
              <w:t>RMI (members / partners)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OF AMERICA</w:t>
            </w: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30" w:orient="portrait"/>
          <w:cols w:equalWidth="0" w:num="1">
            <w:col w:w="9019"/>
          </w:cols>
          <w:pgMar w:left="1440" w:top="64" w:right="1440" w:bottom="0" w:gutter="0" w:footer="0" w:header="0"/>
        </w:sectPr>
      </w:pPr>
    </w:p>
    <w:bookmarkStart w:id="18" w:name="page19"/>
    <w:bookmarkEnd w:id="18"/>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89"/>
        </w:trPr>
        <w:tc>
          <w:tcPr>
            <w:tcW w:w="1220" w:type="dxa"/>
            <w:vAlign w:val="bottom"/>
            <w:tcBorders>
              <w:right w:val="single" w:sz="8" w:color="0070C0"/>
            </w:tcBorders>
            <w:shd w:val="clear" w:color="auto" w:fill="002060"/>
          </w:tcPr>
          <w:p>
            <w:pPr>
              <w:ind w:left="120"/>
              <w:spacing w:after="0"/>
              <w:rPr>
                <w:sz w:val="20"/>
                <w:szCs w:val="20"/>
                <w:color w:val="auto"/>
              </w:rPr>
            </w:pPr>
            <w:r>
              <w:rPr>
                <w:rFonts w:ascii="Arial" w:cs="Arial" w:eastAsia="Arial" w:hAnsi="Arial"/>
                <w:sz w:val="16"/>
                <w:szCs w:val="16"/>
                <w:b w:val="1"/>
                <w:bCs w:val="1"/>
                <w:color w:val="FFFFFF"/>
              </w:rPr>
              <w:t>Smelter</w:t>
            </w:r>
          </w:p>
        </w:tc>
        <w:tc>
          <w:tcPr>
            <w:tcW w:w="920" w:type="dxa"/>
            <w:vAlign w:val="bottom"/>
            <w:tcBorders>
              <w:right w:val="single" w:sz="8" w:color="0070C0"/>
            </w:tcBorders>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w w:val="72"/>
              </w:rPr>
              <w:t>Metal</w:t>
            </w:r>
            <w:r>
              <w:rPr>
                <w:rFonts w:ascii="Arial" w:cs="Arial" w:eastAsia="Arial" w:hAnsi="Arial"/>
                <w:sz w:val="16"/>
                <w:szCs w:val="16"/>
                <w:color w:val="000000"/>
                <w:w w:val="72"/>
              </w:rPr>
              <w:t>Tungsten</w:t>
            </w:r>
          </w:p>
        </w:tc>
        <w:tc>
          <w:tcPr>
            <w:tcW w:w="2580" w:type="dxa"/>
            <w:vAlign w:val="bottom"/>
            <w:tcBorders>
              <w:right w:val="single" w:sz="8" w:color="0070C0"/>
            </w:tcBorders>
            <w:vMerge w:val="restart"/>
            <w:shd w:val="clear" w:color="auto" w:fill="002060"/>
          </w:tcPr>
          <w:p>
            <w:pPr>
              <w:ind w:left="80"/>
              <w:spacing w:after="0"/>
              <w:rPr>
                <w:sz w:val="20"/>
                <w:szCs w:val="20"/>
                <w:color w:val="auto"/>
              </w:rPr>
            </w:pPr>
            <w:r>
              <w:rPr>
                <w:rFonts w:ascii="Arial" w:cs="Arial" w:eastAsia="Arial" w:hAnsi="Arial"/>
                <w:sz w:val="16"/>
                <w:szCs w:val="16"/>
                <w:color w:val="auto"/>
                <w:w w:val="99"/>
              </w:rPr>
              <w:t>Kennametal</w:t>
            </w:r>
            <w:r>
              <w:rPr>
                <w:rFonts w:ascii="Arial" w:cs="Arial" w:eastAsia="Arial" w:hAnsi="Arial"/>
                <w:sz w:val="16"/>
                <w:szCs w:val="16"/>
                <w:b w:val="1"/>
                <w:bCs w:val="1"/>
                <w:color w:val="FFFFFF"/>
                <w:w w:val="99"/>
              </w:rPr>
              <w:t>SmelterNme</w:t>
            </w:r>
            <w:r>
              <w:rPr>
                <w:rFonts w:ascii="Arial" w:cs="Arial" w:eastAsia="Arial" w:hAnsi="Arial"/>
                <w:sz w:val="16"/>
                <w:szCs w:val="16"/>
                <w:color w:val="auto"/>
                <w:w w:val="99"/>
              </w:rPr>
              <w:t>Huntsville</w:t>
            </w:r>
          </w:p>
        </w:tc>
        <w:tc>
          <w:tcPr>
            <w:tcW w:w="1480" w:type="dxa"/>
            <w:vAlign w:val="bottom"/>
            <w:tcBorders>
              <w:right w:val="single" w:sz="8" w:color="0070C0"/>
            </w:tcBorders>
            <w:shd w:val="clear" w:color="auto" w:fill="002060"/>
          </w:tcPr>
          <w:p>
            <w:pPr>
              <w:ind w:left="80"/>
              <w:spacing w:after="0"/>
              <w:rPr>
                <w:sz w:val="20"/>
                <w:szCs w:val="20"/>
                <w:color w:val="auto"/>
              </w:rPr>
            </w:pPr>
            <w:r>
              <w:rPr>
                <w:rFonts w:ascii="Arial" w:cs="Arial" w:eastAsia="Arial" w:hAnsi="Arial"/>
                <w:sz w:val="16"/>
                <w:szCs w:val="16"/>
                <w:color w:val="auto"/>
              </w:rPr>
              <w:t>UNITED STATES</w:t>
            </w:r>
          </w:p>
        </w:tc>
        <w:tc>
          <w:tcPr>
            <w:tcW w:w="2100" w:type="dxa"/>
            <w:vAlign w:val="bottom"/>
            <w:vMerge w:val="restart"/>
            <w:shd w:val="clear" w:color="auto" w:fill="002060"/>
          </w:tcPr>
          <w:p>
            <w:pPr>
              <w:ind w:left="100"/>
              <w:spacing w:after="0"/>
              <w:rPr>
                <w:sz w:val="20"/>
                <w:szCs w:val="20"/>
                <w:color w:val="auto"/>
              </w:rPr>
            </w:pPr>
            <w:r>
              <w:rPr>
                <w:rFonts w:ascii="Arial" w:cs="Arial" w:eastAsia="Arial" w:hAnsi="Arial"/>
                <w:sz w:val="16"/>
                <w:szCs w:val="16"/>
                <w:b w:val="1"/>
                <w:bCs w:val="1"/>
                <w:color w:val="FFFFFF"/>
                <w:w w:val="70"/>
              </w:rPr>
              <w:t>Auditor</w:t>
            </w:r>
            <w:r>
              <w:rPr>
                <w:rFonts w:ascii="Arial" w:cs="Arial" w:eastAsia="Arial" w:hAnsi="Arial"/>
                <w:sz w:val="16"/>
                <w:szCs w:val="16"/>
                <w:color w:val="000000"/>
                <w:w w:val="70"/>
              </w:rPr>
              <w:t>RMI(members</w:t>
            </w:r>
            <w:r>
              <w:rPr>
                <w:rFonts w:ascii="Arial" w:cs="Arial" w:eastAsia="Arial" w:hAnsi="Arial"/>
                <w:sz w:val="16"/>
                <w:szCs w:val="16"/>
                <w:b w:val="1"/>
                <w:bCs w:val="1"/>
                <w:color w:val="FFFFFF"/>
                <w:w w:val="70"/>
              </w:rPr>
              <w:t xml:space="preserve">Name </w:t>
            </w:r>
            <w:r>
              <w:rPr>
                <w:rFonts w:ascii="Arial" w:cs="Arial" w:eastAsia="Arial" w:hAnsi="Arial"/>
                <w:sz w:val="16"/>
                <w:szCs w:val="16"/>
                <w:color w:val="000000"/>
                <w:w w:val="70"/>
              </w:rPr>
              <w:t>/ partners)</w:t>
            </w:r>
          </w:p>
        </w:tc>
        <w:tc>
          <w:tcPr>
            <w:tcW w:w="0" w:type="dxa"/>
            <w:vAlign w:val="bottom"/>
          </w:tcPr>
          <w:p>
            <w:pPr>
              <w:spacing w:after="0"/>
              <w:rPr>
                <w:sz w:val="1"/>
                <w:szCs w:val="1"/>
                <w:color w:val="auto"/>
              </w:rPr>
            </w:pPr>
          </w:p>
        </w:tc>
      </w:tr>
      <w:tr>
        <w:trPr>
          <w:trHeight w:val="108"/>
        </w:trPr>
        <w:tc>
          <w:tcPr>
            <w:tcW w:w="1220" w:type="dxa"/>
            <w:vAlign w:val="bottom"/>
            <w:tcBorders>
              <w:right w:val="single" w:sz="8" w:color="0070C0"/>
            </w:tcBorders>
            <w:shd w:val="clear" w:color="auto" w:fill="002060"/>
          </w:tcPr>
          <w:p>
            <w:pPr>
              <w:ind w:left="120"/>
              <w:spacing w:after="0" w:line="108" w:lineRule="exact"/>
              <w:rPr>
                <w:sz w:val="20"/>
                <w:szCs w:val="20"/>
                <w:color w:val="auto"/>
              </w:rPr>
            </w:pPr>
            <w:r>
              <w:rPr>
                <w:rFonts w:ascii="Arial" w:cs="Arial" w:eastAsia="Arial" w:hAnsi="Arial"/>
                <w:sz w:val="12"/>
                <w:szCs w:val="12"/>
                <w:color w:val="auto"/>
              </w:rPr>
              <w:t>CID000105</w:t>
            </w:r>
          </w:p>
        </w:tc>
        <w:tc>
          <w:tcPr>
            <w:tcW w:w="920" w:type="dxa"/>
            <w:vAlign w:val="bottom"/>
            <w:tcBorders>
              <w:right w:val="single" w:sz="8" w:color="0070C0"/>
            </w:tcBorders>
            <w:vMerge w:val="continue"/>
            <w:shd w:val="clear" w:color="auto" w:fill="002060"/>
          </w:tcPr>
          <w:p>
            <w:pPr>
              <w:spacing w:after="0"/>
              <w:rPr>
                <w:sz w:val="9"/>
                <w:szCs w:val="9"/>
                <w:color w:val="auto"/>
              </w:rPr>
            </w:pPr>
          </w:p>
        </w:tc>
        <w:tc>
          <w:tcPr>
            <w:tcW w:w="2580" w:type="dxa"/>
            <w:vAlign w:val="bottom"/>
            <w:tcBorders>
              <w:right w:val="single" w:sz="8" w:color="0070C0"/>
            </w:tcBorders>
            <w:vMerge w:val="continue"/>
            <w:shd w:val="clear" w:color="auto" w:fill="002060"/>
          </w:tcPr>
          <w:p>
            <w:pPr>
              <w:spacing w:after="0"/>
              <w:rPr>
                <w:sz w:val="9"/>
                <w:szCs w:val="9"/>
                <w:color w:val="auto"/>
              </w:rPr>
            </w:pPr>
          </w:p>
        </w:tc>
        <w:tc>
          <w:tcPr>
            <w:tcW w:w="1480" w:type="dxa"/>
            <w:vAlign w:val="bottom"/>
            <w:tcBorders>
              <w:right w:val="single" w:sz="8" w:color="0070C0"/>
            </w:tcBorders>
            <w:shd w:val="clear" w:color="auto" w:fill="002060"/>
          </w:tcPr>
          <w:p>
            <w:pPr>
              <w:ind w:left="80"/>
              <w:spacing w:after="0" w:line="108" w:lineRule="exact"/>
              <w:rPr>
                <w:sz w:val="20"/>
                <w:szCs w:val="20"/>
                <w:color w:val="auto"/>
              </w:rPr>
            </w:pPr>
            <w:r>
              <w:rPr>
                <w:rFonts w:ascii="Arial" w:cs="Arial" w:eastAsia="Arial" w:hAnsi="Arial"/>
                <w:sz w:val="12"/>
                <w:szCs w:val="12"/>
                <w:b w:val="1"/>
                <w:bCs w:val="1"/>
                <w:color w:val="FFFFFF"/>
              </w:rPr>
              <w:t>Smelter Country</w:t>
            </w:r>
          </w:p>
        </w:tc>
        <w:tc>
          <w:tcPr>
            <w:tcW w:w="2100" w:type="dxa"/>
            <w:vAlign w:val="bottom"/>
            <w:vMerge w:val="continue"/>
            <w:shd w:val="clear" w:color="auto" w:fill="002060"/>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auto"/>
              <w:right w:val="single" w:sz="8" w:color="0070C0"/>
            </w:tcBorders>
            <w:shd w:val="clear" w:color="auto" w:fill="002060"/>
          </w:tcPr>
          <w:p>
            <w:pPr>
              <w:ind w:left="120"/>
              <w:spacing w:after="0" w:line="148" w:lineRule="exact"/>
              <w:rPr>
                <w:sz w:val="20"/>
                <w:szCs w:val="20"/>
                <w:color w:val="auto"/>
              </w:rPr>
            </w:pPr>
            <w:r>
              <w:rPr>
                <w:rFonts w:ascii="Arial" w:cs="Arial" w:eastAsia="Arial" w:hAnsi="Arial"/>
                <w:sz w:val="16"/>
                <w:szCs w:val="16"/>
                <w:b w:val="1"/>
                <w:bCs w:val="1"/>
                <w:color w:val="FFFFFF"/>
              </w:rPr>
              <w:t>Identification</w:t>
            </w:r>
          </w:p>
        </w:tc>
        <w:tc>
          <w:tcPr>
            <w:tcW w:w="920" w:type="dxa"/>
            <w:vAlign w:val="bottom"/>
            <w:tcBorders>
              <w:bottom w:val="single" w:sz="8" w:color="auto"/>
              <w:right w:val="single" w:sz="8" w:color="0070C0"/>
            </w:tcBorders>
            <w:shd w:val="clear" w:color="auto" w:fill="002060"/>
          </w:tcPr>
          <w:p>
            <w:pPr>
              <w:spacing w:after="0"/>
              <w:rPr>
                <w:sz w:val="12"/>
                <w:szCs w:val="12"/>
                <w:color w:val="auto"/>
              </w:rPr>
            </w:pPr>
          </w:p>
        </w:tc>
        <w:tc>
          <w:tcPr>
            <w:tcW w:w="2580" w:type="dxa"/>
            <w:vAlign w:val="bottom"/>
            <w:tcBorders>
              <w:bottom w:val="single" w:sz="8" w:color="auto"/>
              <w:right w:val="single" w:sz="8" w:color="0070C0"/>
            </w:tcBorders>
            <w:shd w:val="clear" w:color="auto" w:fill="002060"/>
          </w:tcPr>
          <w:p>
            <w:pPr>
              <w:spacing w:after="0"/>
              <w:rPr>
                <w:sz w:val="12"/>
                <w:szCs w:val="12"/>
                <w:color w:val="auto"/>
              </w:rPr>
            </w:pPr>
          </w:p>
        </w:tc>
        <w:tc>
          <w:tcPr>
            <w:tcW w:w="1480" w:type="dxa"/>
            <w:vAlign w:val="bottom"/>
            <w:tcBorders>
              <w:bottom w:val="single" w:sz="8" w:color="auto"/>
              <w:right w:val="single" w:sz="8" w:color="0070C0"/>
            </w:tcBorders>
            <w:shd w:val="clear" w:color="auto" w:fill="002060"/>
          </w:tcPr>
          <w:p>
            <w:pPr>
              <w:ind w:left="80"/>
              <w:spacing w:after="0" w:line="148" w:lineRule="exact"/>
              <w:rPr>
                <w:sz w:val="20"/>
                <w:szCs w:val="20"/>
                <w:color w:val="auto"/>
              </w:rPr>
            </w:pPr>
            <w:r>
              <w:rPr>
                <w:rFonts w:ascii="Arial" w:cs="Arial" w:eastAsia="Arial" w:hAnsi="Arial"/>
                <w:sz w:val="16"/>
                <w:szCs w:val="16"/>
                <w:color w:val="auto"/>
              </w:rPr>
              <w:t>OF AMERICA</w:t>
            </w:r>
          </w:p>
        </w:tc>
        <w:tc>
          <w:tcPr>
            <w:tcW w:w="2100" w:type="dxa"/>
            <w:vAlign w:val="bottom"/>
            <w:tcBorders>
              <w:bottom w:val="single" w:sz="8" w:color="auto"/>
            </w:tcBorders>
            <w:shd w:val="clear" w:color="auto" w:fill="002060"/>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TAIWAN,</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CID003407</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Lianyou Metals Co., Ltd.</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PROVINCE OF</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TAIWAN,</w:t>
            </w: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120"/>
              <w:spacing w:after="0"/>
              <w:rPr>
                <w:sz w:val="20"/>
                <w:szCs w:val="20"/>
                <w:color w:val="auto"/>
              </w:rPr>
            </w:pPr>
            <w:r>
              <w:rPr>
                <w:rFonts w:ascii="Arial" w:cs="Arial" w:eastAsia="Arial" w:hAnsi="Arial"/>
                <w:sz w:val="16"/>
                <w:szCs w:val="16"/>
                <w:color w:val="auto"/>
              </w:rPr>
              <w:t>CID004397</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Lianyou Resources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PROVINCE OF</w:t>
            </w:r>
          </w:p>
        </w:tc>
        <w:tc>
          <w:tcPr>
            <w:tcW w:w="2100" w:type="dxa"/>
            <w:vAlign w:val="bottom"/>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CID002319</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Malipo Haiyu Tungsten Co., Ltd.</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75"/>
        </w:trPr>
        <w:tc>
          <w:tcPr>
            <w:tcW w:w="1220" w:type="dxa"/>
            <w:vAlign w:val="bottom"/>
          </w:tcPr>
          <w:p>
            <w:pPr>
              <w:ind w:left="120"/>
              <w:spacing w:after="0"/>
              <w:rPr>
                <w:sz w:val="20"/>
                <w:szCs w:val="20"/>
                <w:color w:val="auto"/>
              </w:rPr>
            </w:pPr>
            <w:r>
              <w:rPr>
                <w:rFonts w:ascii="Arial" w:cs="Arial" w:eastAsia="Arial" w:hAnsi="Arial"/>
                <w:sz w:val="16"/>
                <w:szCs w:val="16"/>
                <w:color w:val="auto"/>
              </w:rPr>
              <w:t>CID002543</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Masan High-Tech Materials</w:t>
            </w:r>
          </w:p>
        </w:tc>
        <w:tc>
          <w:tcPr>
            <w:tcW w:w="1480" w:type="dxa"/>
            <w:vAlign w:val="bottom"/>
          </w:tcPr>
          <w:p>
            <w:pPr>
              <w:ind w:left="80"/>
              <w:spacing w:after="0"/>
              <w:rPr>
                <w:sz w:val="20"/>
                <w:szCs w:val="20"/>
                <w:color w:val="auto"/>
              </w:rPr>
            </w:pPr>
            <w:r>
              <w:rPr>
                <w:rFonts w:ascii="Arial" w:cs="Arial" w:eastAsia="Arial" w:hAnsi="Arial"/>
                <w:sz w:val="16"/>
                <w:szCs w:val="16"/>
                <w:color w:val="auto"/>
              </w:rPr>
              <w:t>VIET NAM</w:t>
            </w:r>
          </w:p>
        </w:tc>
        <w:tc>
          <w:tcPr>
            <w:tcW w:w="2100" w:type="dxa"/>
            <w:vAlign w:val="bottom"/>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7"/>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CID002589</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Niagara Refining LLC</w:t>
            </w:r>
          </w:p>
        </w:tc>
        <w:tc>
          <w:tcPr>
            <w:tcW w:w="148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OF AMERICA</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CID002827</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Philippine Chuangxin Industrial</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PHILIPPINES</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 Inc.</w:t>
            </w:r>
          </w:p>
        </w:tc>
        <w:tc>
          <w:tcPr>
            <w:tcW w:w="14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CID004430</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Shinwon Tungsten (Fujian</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Shanghang) Co., Ltd.</w:t>
            </w:r>
          </w:p>
        </w:tc>
        <w:tc>
          <w:tcPr>
            <w:tcW w:w="14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CID002542</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TANIOBIS Smelting GmbH &amp; Co.</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GERMANY</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KG</w:t>
            </w:r>
          </w:p>
        </w:tc>
        <w:tc>
          <w:tcPr>
            <w:tcW w:w="14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CID003993</w:t>
            </w:r>
          </w:p>
        </w:tc>
        <w:tc>
          <w:tcPr>
            <w:tcW w:w="920" w:type="dxa"/>
            <w:vAlign w:val="bottom"/>
            <w:vMerge w:val="restart"/>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Tungsten Vietnam Joint Stock</w:t>
            </w:r>
          </w:p>
        </w:tc>
        <w:tc>
          <w:tcPr>
            <w:tcW w:w="1480" w:type="dxa"/>
            <w:vAlign w:val="bottom"/>
            <w:vMerge w:val="restart"/>
          </w:tcPr>
          <w:p>
            <w:pPr>
              <w:ind w:left="80"/>
              <w:spacing w:after="0"/>
              <w:rPr>
                <w:sz w:val="20"/>
                <w:szCs w:val="20"/>
                <w:color w:val="auto"/>
              </w:rPr>
            </w:pPr>
            <w:r>
              <w:rPr>
                <w:rFonts w:ascii="Arial" w:cs="Arial" w:eastAsia="Arial" w:hAnsi="Arial"/>
                <w:sz w:val="16"/>
                <w:szCs w:val="16"/>
                <w:color w:val="auto"/>
              </w:rPr>
              <w:t>VIET NAM</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580" w:type="dxa"/>
            <w:vAlign w:val="bottom"/>
            <w:vMerge w:val="restart"/>
          </w:tcPr>
          <w:p>
            <w:pPr>
              <w:ind w:left="80"/>
              <w:spacing w:after="0"/>
              <w:rPr>
                <w:sz w:val="20"/>
                <w:szCs w:val="20"/>
                <w:color w:val="auto"/>
              </w:rPr>
            </w:pPr>
            <w:r>
              <w:rPr>
                <w:rFonts w:ascii="Arial" w:cs="Arial" w:eastAsia="Arial" w:hAnsi="Arial"/>
                <w:sz w:val="16"/>
                <w:szCs w:val="16"/>
                <w:color w:val="auto"/>
              </w:rPr>
              <w:t>Company</w:t>
            </w:r>
          </w:p>
        </w:tc>
        <w:tc>
          <w:tcPr>
            <w:tcW w:w="14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20"/>
              <w:spacing w:after="0"/>
              <w:rPr>
                <w:sz w:val="20"/>
                <w:szCs w:val="20"/>
                <w:color w:val="auto"/>
              </w:rPr>
            </w:pPr>
            <w:r>
              <w:rPr>
                <w:rFonts w:ascii="Arial" w:cs="Arial" w:eastAsia="Arial" w:hAnsi="Arial"/>
                <w:sz w:val="16"/>
                <w:szCs w:val="16"/>
                <w:color w:val="auto"/>
              </w:rPr>
              <w:t>CID002044</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Wolfram Bergbau und Hutten AG</w:t>
            </w:r>
          </w:p>
        </w:tc>
        <w:tc>
          <w:tcPr>
            <w:tcW w:w="1480" w:type="dxa"/>
            <w:vAlign w:val="bottom"/>
          </w:tcPr>
          <w:p>
            <w:pPr>
              <w:ind w:left="80"/>
              <w:spacing w:after="0"/>
              <w:rPr>
                <w:sz w:val="20"/>
                <w:szCs w:val="20"/>
                <w:color w:val="auto"/>
              </w:rPr>
            </w:pPr>
            <w:r>
              <w:rPr>
                <w:rFonts w:ascii="Arial" w:cs="Arial" w:eastAsia="Arial" w:hAnsi="Arial"/>
                <w:sz w:val="16"/>
                <w:szCs w:val="16"/>
                <w:color w:val="auto"/>
              </w:rPr>
              <w:t>AUSTRIA</w:t>
            </w:r>
          </w:p>
        </w:tc>
        <w:tc>
          <w:tcPr>
            <w:tcW w:w="2100" w:type="dxa"/>
            <w:vAlign w:val="bottom"/>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color w:val="auto"/>
              </w:rPr>
              <w:t>CID002320</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Xiamen Tungsten (H.C.)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6"/>
                <w:szCs w:val="16"/>
                <w:color w:val="auto"/>
              </w:rPr>
              <w:t>CID002082</w:t>
            </w:r>
          </w:p>
        </w:tc>
        <w:tc>
          <w:tcPr>
            <w:tcW w:w="920" w:type="dxa"/>
            <w:vAlign w:val="bottom"/>
          </w:tcPr>
          <w:p>
            <w:pPr>
              <w:ind w:left="100"/>
              <w:spacing w:after="0"/>
              <w:rPr>
                <w:sz w:val="20"/>
                <w:szCs w:val="20"/>
                <w:color w:val="auto"/>
              </w:rPr>
            </w:pPr>
            <w:r>
              <w:rPr>
                <w:rFonts w:ascii="Arial" w:cs="Arial" w:eastAsia="Arial" w:hAnsi="Arial"/>
                <w:sz w:val="16"/>
                <w:szCs w:val="16"/>
                <w:color w:val="auto"/>
              </w:rPr>
              <w:t>Tungsten</w:t>
            </w:r>
          </w:p>
        </w:tc>
        <w:tc>
          <w:tcPr>
            <w:tcW w:w="2580" w:type="dxa"/>
            <w:vAlign w:val="bottom"/>
          </w:tcPr>
          <w:p>
            <w:pPr>
              <w:ind w:left="80"/>
              <w:spacing w:after="0"/>
              <w:rPr>
                <w:sz w:val="20"/>
                <w:szCs w:val="20"/>
                <w:color w:val="auto"/>
              </w:rPr>
            </w:pPr>
            <w:r>
              <w:rPr>
                <w:rFonts w:ascii="Arial" w:cs="Arial" w:eastAsia="Arial" w:hAnsi="Arial"/>
                <w:sz w:val="16"/>
                <w:szCs w:val="16"/>
                <w:color w:val="auto"/>
              </w:rPr>
              <w:t>Xiamen Tungsten Co., Ltd.</w:t>
            </w:r>
          </w:p>
        </w:tc>
        <w:tc>
          <w:tcPr>
            <w:tcW w:w="1480" w:type="dxa"/>
            <w:vAlign w:val="bottom"/>
          </w:tcPr>
          <w:p>
            <w:pPr>
              <w:ind w:left="80"/>
              <w:spacing w:after="0"/>
              <w:rPr>
                <w:sz w:val="20"/>
                <w:szCs w:val="20"/>
                <w:color w:val="auto"/>
              </w:rPr>
            </w:pPr>
            <w:r>
              <w:rPr>
                <w:rFonts w:ascii="Arial" w:cs="Arial" w:eastAsia="Arial" w:hAnsi="Arial"/>
                <w:sz w:val="16"/>
                <w:szCs w:val="16"/>
                <w:color w:val="auto"/>
              </w:rPr>
              <w:t>CHINA</w:t>
            </w:r>
          </w:p>
        </w:tc>
        <w:tc>
          <w:tcPr>
            <w:tcW w:w="2100" w:type="dxa"/>
            <w:vAlign w:val="bottom"/>
          </w:tcPr>
          <w:p>
            <w:pPr>
              <w:ind w:left="100"/>
              <w:spacing w:after="0"/>
              <w:rPr>
                <w:sz w:val="20"/>
                <w:szCs w:val="20"/>
                <w:color w:val="auto"/>
              </w:rPr>
            </w:pPr>
            <w:r>
              <w:rPr>
                <w:rFonts w:ascii="Arial" w:cs="Arial" w:eastAsia="Arial" w:hAnsi="Arial"/>
                <w:sz w:val="16"/>
                <w:szCs w:val="16"/>
                <w:color w:val="auto"/>
              </w:rPr>
              <w:t>RMI (members / partners)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440" w:right="1220"/>
        <w:spacing w:after="0" w:line="300" w:lineRule="auto"/>
        <w:rPr>
          <w:sz w:val="20"/>
          <w:szCs w:val="20"/>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 Processing facilities, listed by smelter identification number, reported in our supply chain in relation to calendar year 2025 which no longer qualified as RMAP conformant as of December 31, 2025, and from which we have discontinued the sourcing of materials as of such date:</w:t>
      </w:r>
    </w:p>
    <w:p>
      <w:pPr>
        <w:spacing w:after="0" w:line="200" w:lineRule="exact"/>
        <w:rPr>
          <w:sz w:val="20"/>
          <w:szCs w:val="20"/>
          <w:color w:val="auto"/>
        </w:rPr>
      </w:pPr>
    </w:p>
    <w:p>
      <w:pPr>
        <w:spacing w:after="0" w:line="285" w:lineRule="exact"/>
        <w:rPr>
          <w:sz w:val="20"/>
          <w:szCs w:val="20"/>
          <w:color w:val="auto"/>
        </w:rPr>
      </w:pPr>
    </w:p>
    <w:tbl>
      <w:tblPr>
        <w:tblLayout w:type="fixed"/>
        <w:tblInd w:w="450" w:type="dxa"/>
        <w:tblCellMar>
          <w:top w:w="0" w:type="dxa"/>
          <w:left w:w="0" w:type="dxa"/>
          <w:bottom w:w="0" w:type="dxa"/>
          <w:right w:w="0" w:type="dxa"/>
        </w:tblCellMar>
      </w:tblPr>
      <w:tr>
        <w:trPr>
          <w:trHeight w:val="229"/>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RMAP Smelter</w:t>
            </w:r>
          </w:p>
        </w:tc>
        <w:tc>
          <w:tcPr>
            <w:tcW w:w="960" w:type="dxa"/>
            <w:vAlign w:val="bottom"/>
            <w:tcBorders>
              <w:right w:val="single" w:sz="8" w:color="BFBFBF"/>
            </w:tcBorders>
            <w:shd w:val="clear" w:color="auto" w:fill="03234B"/>
          </w:tcPr>
          <w:p>
            <w:pPr>
              <w:ind w:left="80"/>
              <w:spacing w:after="0"/>
              <w:rPr>
                <w:sz w:val="20"/>
                <w:szCs w:val="20"/>
                <w:color w:val="auto"/>
              </w:rPr>
            </w:pPr>
            <w:r>
              <w:rPr>
                <w:rFonts w:ascii="Arial" w:cs="Arial" w:eastAsia="Arial" w:hAnsi="Arial"/>
                <w:sz w:val="16"/>
                <w:szCs w:val="16"/>
                <w:b w:val="1"/>
                <w:bCs w:val="1"/>
                <w:color w:val="FFFFFF"/>
              </w:rPr>
              <w:t>Metal</w:t>
            </w:r>
          </w:p>
        </w:tc>
        <w:tc>
          <w:tcPr>
            <w:tcW w:w="1800" w:type="dxa"/>
            <w:vAlign w:val="bottom"/>
            <w:tcBorders>
              <w:right w:val="single" w:sz="8" w:color="BFBFBF"/>
            </w:tcBorders>
            <w:shd w:val="clear" w:color="auto" w:fill="03234B"/>
          </w:tcPr>
          <w:p>
            <w:pPr>
              <w:ind w:left="80"/>
              <w:spacing w:after="0"/>
              <w:rPr>
                <w:sz w:val="20"/>
                <w:szCs w:val="20"/>
                <w:color w:val="auto"/>
              </w:rPr>
            </w:pPr>
            <w:r>
              <w:rPr>
                <w:rFonts w:ascii="Arial" w:cs="Arial" w:eastAsia="Arial" w:hAnsi="Arial"/>
                <w:sz w:val="16"/>
                <w:szCs w:val="16"/>
                <w:b w:val="1"/>
                <w:bCs w:val="1"/>
                <w:color w:val="FFFFFF"/>
              </w:rPr>
              <w:t>Smelter Name</w:t>
            </w:r>
          </w:p>
        </w:tc>
        <w:tc>
          <w:tcPr>
            <w:tcW w:w="170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Smelter Country</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Month of</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RMI conformity</w:t>
            </w:r>
          </w:p>
        </w:tc>
      </w:tr>
      <w:tr>
        <w:trPr>
          <w:trHeight w:val="216"/>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Identification</w:t>
            </w:r>
          </w:p>
        </w:tc>
        <w:tc>
          <w:tcPr>
            <w:tcW w:w="960" w:type="dxa"/>
            <w:vAlign w:val="bottom"/>
            <w:tcBorders>
              <w:right w:val="single" w:sz="8" w:color="BFBFBF"/>
            </w:tcBorders>
            <w:shd w:val="clear" w:color="auto" w:fill="03234B"/>
          </w:tcPr>
          <w:p>
            <w:pPr>
              <w:spacing w:after="0"/>
              <w:rPr>
                <w:sz w:val="18"/>
                <w:szCs w:val="18"/>
                <w:color w:val="auto"/>
              </w:rPr>
            </w:pPr>
          </w:p>
        </w:tc>
        <w:tc>
          <w:tcPr>
            <w:tcW w:w="1800" w:type="dxa"/>
            <w:vAlign w:val="bottom"/>
            <w:tcBorders>
              <w:right w:val="single" w:sz="8" w:color="BFBFBF"/>
            </w:tcBorders>
            <w:shd w:val="clear" w:color="auto" w:fill="03234B"/>
          </w:tcPr>
          <w:p>
            <w:pPr>
              <w:spacing w:after="0"/>
              <w:rPr>
                <w:sz w:val="18"/>
                <w:szCs w:val="18"/>
                <w:color w:val="auto"/>
              </w:rPr>
            </w:pPr>
          </w:p>
        </w:tc>
        <w:tc>
          <w:tcPr>
            <w:tcW w:w="1700" w:type="dxa"/>
            <w:vAlign w:val="bottom"/>
            <w:tcBorders>
              <w:right w:val="single" w:sz="8" w:color="BFBFBF"/>
            </w:tcBorders>
            <w:shd w:val="clear" w:color="auto" w:fill="03234B"/>
          </w:tcPr>
          <w:p>
            <w:pPr>
              <w:spacing w:after="0"/>
              <w:rPr>
                <w:sz w:val="18"/>
                <w:szCs w:val="18"/>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communication</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status</w:t>
            </w:r>
          </w:p>
        </w:tc>
      </w:tr>
      <w:tr>
        <w:trPr>
          <w:trHeight w:val="216"/>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Number</w:t>
            </w:r>
          </w:p>
        </w:tc>
        <w:tc>
          <w:tcPr>
            <w:tcW w:w="960" w:type="dxa"/>
            <w:vAlign w:val="bottom"/>
            <w:tcBorders>
              <w:right w:val="single" w:sz="8" w:color="BFBFBF"/>
            </w:tcBorders>
            <w:shd w:val="clear" w:color="auto" w:fill="03234B"/>
          </w:tcPr>
          <w:p>
            <w:pPr>
              <w:spacing w:after="0"/>
              <w:rPr>
                <w:sz w:val="18"/>
                <w:szCs w:val="18"/>
                <w:color w:val="auto"/>
              </w:rPr>
            </w:pPr>
          </w:p>
        </w:tc>
        <w:tc>
          <w:tcPr>
            <w:tcW w:w="1800" w:type="dxa"/>
            <w:vAlign w:val="bottom"/>
            <w:tcBorders>
              <w:right w:val="single" w:sz="8" w:color="BFBFBF"/>
            </w:tcBorders>
            <w:shd w:val="clear" w:color="auto" w:fill="03234B"/>
          </w:tcPr>
          <w:p>
            <w:pPr>
              <w:spacing w:after="0"/>
              <w:rPr>
                <w:sz w:val="18"/>
                <w:szCs w:val="18"/>
                <w:color w:val="auto"/>
              </w:rPr>
            </w:pPr>
          </w:p>
        </w:tc>
        <w:tc>
          <w:tcPr>
            <w:tcW w:w="1700" w:type="dxa"/>
            <w:vAlign w:val="bottom"/>
            <w:tcBorders>
              <w:right w:val="single" w:sz="8" w:color="BFBFBF"/>
            </w:tcBorders>
            <w:shd w:val="clear" w:color="auto" w:fill="03234B"/>
          </w:tcPr>
          <w:p>
            <w:pPr>
              <w:spacing w:after="0"/>
              <w:rPr>
                <w:sz w:val="18"/>
                <w:szCs w:val="18"/>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Effective date</w:t>
            </w:r>
          </w:p>
        </w:tc>
        <w:tc>
          <w:tcPr>
            <w:tcW w:w="1620" w:type="dxa"/>
            <w:vAlign w:val="bottom"/>
            <w:tcBorders>
              <w:right w:val="single" w:sz="8" w:color="BFBFBF"/>
            </w:tcBorders>
            <w:shd w:val="clear" w:color="auto" w:fill="03234B"/>
          </w:tcPr>
          <w:p>
            <w:pPr>
              <w:spacing w:after="0"/>
              <w:rPr>
                <w:sz w:val="18"/>
                <w:szCs w:val="18"/>
                <w:color w:val="auto"/>
              </w:rPr>
            </w:pPr>
          </w:p>
        </w:tc>
      </w:tr>
      <w:tr>
        <w:trPr>
          <w:trHeight w:val="223"/>
        </w:trPr>
        <w:tc>
          <w:tcPr>
            <w:tcW w:w="1400" w:type="dxa"/>
            <w:vAlign w:val="bottom"/>
            <w:tcBorders>
              <w:left w:val="single" w:sz="8" w:color="BFBFBF"/>
              <w:right w:val="single" w:sz="8" w:color="BFBFBF"/>
            </w:tcBorders>
            <w:shd w:val="clear" w:color="auto" w:fill="03234B"/>
          </w:tcPr>
          <w:p>
            <w:pPr>
              <w:spacing w:after="0"/>
              <w:rPr>
                <w:sz w:val="19"/>
                <w:szCs w:val="19"/>
                <w:color w:val="auto"/>
              </w:rPr>
            </w:pPr>
          </w:p>
        </w:tc>
        <w:tc>
          <w:tcPr>
            <w:tcW w:w="960" w:type="dxa"/>
            <w:vAlign w:val="bottom"/>
            <w:tcBorders>
              <w:right w:val="single" w:sz="8" w:color="BFBFBF"/>
            </w:tcBorders>
            <w:shd w:val="clear" w:color="auto" w:fill="03234B"/>
          </w:tcPr>
          <w:p>
            <w:pPr>
              <w:spacing w:after="0"/>
              <w:rPr>
                <w:sz w:val="19"/>
                <w:szCs w:val="19"/>
                <w:color w:val="auto"/>
              </w:rPr>
            </w:pPr>
          </w:p>
        </w:tc>
        <w:tc>
          <w:tcPr>
            <w:tcW w:w="1800" w:type="dxa"/>
            <w:vAlign w:val="bottom"/>
            <w:tcBorders>
              <w:right w:val="single" w:sz="8" w:color="BFBFBF"/>
            </w:tcBorders>
            <w:shd w:val="clear" w:color="auto" w:fill="03234B"/>
          </w:tcPr>
          <w:p>
            <w:pPr>
              <w:spacing w:after="0"/>
              <w:rPr>
                <w:sz w:val="19"/>
                <w:szCs w:val="19"/>
                <w:color w:val="auto"/>
              </w:rPr>
            </w:pPr>
          </w:p>
        </w:tc>
        <w:tc>
          <w:tcPr>
            <w:tcW w:w="1700" w:type="dxa"/>
            <w:vAlign w:val="bottom"/>
            <w:tcBorders>
              <w:right w:val="single" w:sz="8" w:color="BFBFBF"/>
            </w:tcBorders>
            <w:shd w:val="clear" w:color="auto" w:fill="03234B"/>
          </w:tcPr>
          <w:p>
            <w:pPr>
              <w:spacing w:after="0"/>
              <w:rPr>
                <w:sz w:val="19"/>
                <w:szCs w:val="19"/>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reported by RMI</w:t>
            </w:r>
          </w:p>
        </w:tc>
        <w:tc>
          <w:tcPr>
            <w:tcW w:w="1620" w:type="dxa"/>
            <w:vAlign w:val="bottom"/>
            <w:tcBorders>
              <w:right w:val="single" w:sz="8" w:color="BFBFBF"/>
            </w:tcBorders>
            <w:shd w:val="clear" w:color="auto" w:fill="03234B"/>
          </w:tcPr>
          <w:p>
            <w:pPr>
              <w:spacing w:after="0"/>
              <w:rPr>
                <w:sz w:val="19"/>
                <w:szCs w:val="19"/>
                <w:color w:val="auto"/>
              </w:rPr>
            </w:pPr>
          </w:p>
        </w:tc>
      </w:tr>
      <w:tr>
        <w:trPr>
          <w:trHeight w:val="102"/>
        </w:trPr>
        <w:tc>
          <w:tcPr>
            <w:tcW w:w="1400" w:type="dxa"/>
            <w:vAlign w:val="bottom"/>
            <w:tcBorders>
              <w:left w:val="single" w:sz="8" w:color="BFBFBF"/>
              <w:right w:val="single" w:sz="8" w:color="BFBFBF"/>
            </w:tcBorders>
            <w:shd w:val="clear" w:color="auto" w:fill="03234B"/>
          </w:tcPr>
          <w:p>
            <w:pPr>
              <w:spacing w:after="0"/>
              <w:rPr>
                <w:sz w:val="8"/>
                <w:szCs w:val="8"/>
                <w:color w:val="auto"/>
              </w:rPr>
            </w:pPr>
          </w:p>
        </w:tc>
        <w:tc>
          <w:tcPr>
            <w:tcW w:w="960" w:type="dxa"/>
            <w:vAlign w:val="bottom"/>
            <w:tcBorders>
              <w:right w:val="single" w:sz="8" w:color="BFBFBF"/>
            </w:tcBorders>
            <w:shd w:val="clear" w:color="auto" w:fill="03234B"/>
          </w:tcPr>
          <w:p>
            <w:pPr>
              <w:spacing w:after="0"/>
              <w:rPr>
                <w:sz w:val="8"/>
                <w:szCs w:val="8"/>
                <w:color w:val="auto"/>
              </w:rPr>
            </w:pPr>
          </w:p>
        </w:tc>
        <w:tc>
          <w:tcPr>
            <w:tcW w:w="1800" w:type="dxa"/>
            <w:vAlign w:val="bottom"/>
            <w:tcBorders>
              <w:right w:val="single" w:sz="8" w:color="BFBFBF"/>
            </w:tcBorders>
            <w:shd w:val="clear" w:color="auto" w:fill="03234B"/>
          </w:tcPr>
          <w:p>
            <w:pPr>
              <w:spacing w:after="0"/>
              <w:rPr>
                <w:sz w:val="8"/>
                <w:szCs w:val="8"/>
                <w:color w:val="auto"/>
              </w:rPr>
            </w:pPr>
          </w:p>
        </w:tc>
        <w:tc>
          <w:tcPr>
            <w:tcW w:w="1700" w:type="dxa"/>
            <w:vAlign w:val="bottom"/>
            <w:tcBorders>
              <w:right w:val="single" w:sz="8" w:color="BFBFBF"/>
            </w:tcBorders>
            <w:shd w:val="clear" w:color="auto" w:fill="03234B"/>
          </w:tcPr>
          <w:p>
            <w:pPr>
              <w:spacing w:after="0"/>
              <w:rPr>
                <w:sz w:val="8"/>
                <w:szCs w:val="8"/>
                <w:color w:val="auto"/>
              </w:rPr>
            </w:pPr>
          </w:p>
        </w:tc>
        <w:tc>
          <w:tcPr>
            <w:tcW w:w="1620" w:type="dxa"/>
            <w:vAlign w:val="bottom"/>
            <w:tcBorders>
              <w:right w:val="single" w:sz="8" w:color="BFBFBF"/>
            </w:tcBorders>
            <w:shd w:val="clear" w:color="auto" w:fill="03234B"/>
          </w:tcPr>
          <w:p>
            <w:pPr>
              <w:spacing w:after="0"/>
              <w:rPr>
                <w:sz w:val="8"/>
                <w:szCs w:val="8"/>
                <w:color w:val="auto"/>
              </w:rPr>
            </w:pPr>
          </w:p>
        </w:tc>
        <w:tc>
          <w:tcPr>
            <w:tcW w:w="1620" w:type="dxa"/>
            <w:vAlign w:val="bottom"/>
            <w:tcBorders>
              <w:right w:val="single" w:sz="8" w:color="BFBFBF"/>
            </w:tcBorders>
            <w:shd w:val="clear" w:color="auto" w:fill="03234B"/>
          </w:tcPr>
          <w:p>
            <w:pPr>
              <w:spacing w:after="0"/>
              <w:rPr>
                <w:sz w:val="8"/>
                <w:szCs w:val="8"/>
                <w:color w:val="auto"/>
              </w:rPr>
            </w:pPr>
          </w:p>
        </w:tc>
      </w:tr>
      <w:tr>
        <w:trPr>
          <w:trHeight w:val="215"/>
        </w:trPr>
        <w:tc>
          <w:tcPr>
            <w:tcW w:w="140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16"/>
                <w:szCs w:val="16"/>
                <w:color w:val="auto"/>
              </w:rPr>
              <w:t>CID002762</w:t>
            </w:r>
          </w:p>
        </w:tc>
        <w:tc>
          <w:tcPr>
            <w:tcW w:w="96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Gold</w:t>
            </w:r>
          </w:p>
        </w:tc>
        <w:tc>
          <w:tcPr>
            <w:tcW w:w="180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L'Orfebre S.A.</w:t>
            </w:r>
          </w:p>
        </w:tc>
        <w:tc>
          <w:tcPr>
            <w:tcW w:w="170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ANDORRA</w:t>
            </w:r>
          </w:p>
        </w:tc>
        <w:tc>
          <w:tcPr>
            <w:tcW w:w="162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1/31/2025</w:t>
            </w:r>
          </w:p>
        </w:tc>
        <w:tc>
          <w:tcPr>
            <w:tcW w:w="162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Non Conformant</w:t>
            </w:r>
          </w:p>
        </w:tc>
      </w:tr>
      <w:tr>
        <w:trPr>
          <w:trHeight w:val="28"/>
        </w:trPr>
        <w:tc>
          <w:tcPr>
            <w:tcW w:w="1400" w:type="dxa"/>
            <w:vAlign w:val="bottom"/>
            <w:tcBorders>
              <w:left w:val="single" w:sz="8" w:color="BFBFBF"/>
              <w:bottom w:val="single" w:sz="8" w:color="BFBFBF"/>
              <w:right w:val="single" w:sz="8" w:color="BFBFBF"/>
            </w:tcBorders>
          </w:tcPr>
          <w:p>
            <w:pPr>
              <w:spacing w:after="0"/>
              <w:rPr>
                <w:sz w:val="2"/>
                <w:szCs w:val="2"/>
                <w:color w:val="auto"/>
              </w:rPr>
            </w:pPr>
          </w:p>
        </w:tc>
        <w:tc>
          <w:tcPr>
            <w:tcW w:w="960" w:type="dxa"/>
            <w:vAlign w:val="bottom"/>
            <w:tcBorders>
              <w:bottom w:val="single" w:sz="8" w:color="BFBFBF"/>
              <w:right w:val="single" w:sz="8" w:color="BFBFBF"/>
            </w:tcBorders>
          </w:tcPr>
          <w:p>
            <w:pPr>
              <w:spacing w:after="0"/>
              <w:rPr>
                <w:sz w:val="2"/>
                <w:szCs w:val="2"/>
                <w:color w:val="auto"/>
              </w:rPr>
            </w:pPr>
          </w:p>
        </w:tc>
        <w:tc>
          <w:tcPr>
            <w:tcW w:w="1800" w:type="dxa"/>
            <w:vAlign w:val="bottom"/>
            <w:tcBorders>
              <w:bottom w:val="single" w:sz="8" w:color="BFBFBF"/>
              <w:right w:val="single" w:sz="8" w:color="BFBFBF"/>
            </w:tcBorders>
          </w:tcPr>
          <w:p>
            <w:pPr>
              <w:spacing w:after="0"/>
              <w:rPr>
                <w:sz w:val="2"/>
                <w:szCs w:val="2"/>
                <w:color w:val="auto"/>
              </w:rPr>
            </w:pPr>
          </w:p>
        </w:tc>
        <w:tc>
          <w:tcPr>
            <w:tcW w:w="170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0"/>
        <w:spacing w:after="0"/>
        <w:rPr>
          <w:sz w:val="20"/>
          <w:szCs w:val="20"/>
          <w:color w:val="auto"/>
        </w:rPr>
      </w:pPr>
      <w:r>
        <w:rPr>
          <w:rFonts w:ascii="Arial" w:cs="Arial" w:eastAsia="Arial" w:hAnsi="Arial"/>
          <w:sz w:val="20"/>
          <w:szCs w:val="20"/>
          <w:color w:val="002052"/>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1080" w:type="dxa"/>
            <w:vAlign w:val="bottom"/>
          </w:tcPr>
          <w:p>
            <w:pPr>
              <w:spacing w:after="0"/>
              <w:rPr>
                <w:sz w:val="20"/>
                <w:szCs w:val="20"/>
                <w:color w:val="auto"/>
              </w:rPr>
            </w:pPr>
            <w:r>
              <w:rPr>
                <w:rFonts w:ascii="Arial" w:cs="Arial" w:eastAsia="Arial" w:hAnsi="Arial"/>
                <w:sz w:val="16"/>
                <w:szCs w:val="16"/>
                <w:color w:val="auto"/>
              </w:rPr>
              <w:t>CID002779</w:t>
            </w:r>
          </w:p>
        </w:tc>
        <w:tc>
          <w:tcPr>
            <w:tcW w:w="940" w:type="dxa"/>
            <w:vAlign w:val="bottom"/>
          </w:tcPr>
          <w:p>
            <w:pPr>
              <w:ind w:left="280"/>
              <w:spacing w:after="0"/>
              <w:rPr>
                <w:sz w:val="20"/>
                <w:szCs w:val="20"/>
                <w:color w:val="auto"/>
              </w:rPr>
            </w:pPr>
            <w:r>
              <w:rPr>
                <w:rFonts w:ascii="Arial" w:cs="Arial" w:eastAsia="Arial" w:hAnsi="Arial"/>
                <w:sz w:val="16"/>
                <w:szCs w:val="16"/>
                <w:color w:val="auto"/>
              </w:rPr>
              <w:t>Gold</w:t>
            </w:r>
          </w:p>
        </w:tc>
        <w:tc>
          <w:tcPr>
            <w:tcW w:w="2000" w:type="dxa"/>
            <w:vAlign w:val="bottom"/>
          </w:tcPr>
          <w:p>
            <w:pPr>
              <w:ind w:left="300"/>
              <w:spacing w:after="0"/>
              <w:rPr>
                <w:sz w:val="20"/>
                <w:szCs w:val="20"/>
                <w:color w:val="auto"/>
              </w:rPr>
            </w:pPr>
            <w:r>
              <w:rPr>
                <w:rFonts w:ascii="Arial" w:cs="Arial" w:eastAsia="Arial" w:hAnsi="Arial"/>
                <w:sz w:val="16"/>
                <w:szCs w:val="16"/>
                <w:color w:val="auto"/>
              </w:rPr>
              <w:t>Ogussa</w:t>
            </w:r>
          </w:p>
        </w:tc>
        <w:tc>
          <w:tcPr>
            <w:tcW w:w="1680" w:type="dxa"/>
            <w:vAlign w:val="bottom"/>
          </w:tcPr>
          <w:p>
            <w:pPr>
              <w:ind w:left="80"/>
              <w:spacing w:after="0"/>
              <w:rPr>
                <w:sz w:val="20"/>
                <w:szCs w:val="20"/>
                <w:color w:val="auto"/>
              </w:rPr>
            </w:pPr>
            <w:r>
              <w:rPr>
                <w:rFonts w:ascii="Arial" w:cs="Arial" w:eastAsia="Arial" w:hAnsi="Arial"/>
                <w:sz w:val="16"/>
                <w:szCs w:val="16"/>
                <w:color w:val="auto"/>
              </w:rPr>
              <w:t>AUSTRIA</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1/31/2025</w:t>
            </w:r>
          </w:p>
        </w:tc>
        <w:tc>
          <w:tcPr>
            <w:tcW w:w="1840" w:type="dxa"/>
            <w:vAlign w:val="bottom"/>
          </w:tcPr>
          <w:p>
            <w:pPr>
              <w:ind w:left="440"/>
              <w:spacing w:after="0"/>
              <w:rPr>
                <w:sz w:val="20"/>
                <w:szCs w:val="20"/>
                <w:color w:val="auto"/>
              </w:rPr>
            </w:pPr>
            <w:r>
              <w:rPr>
                <w:rFonts w:ascii="Arial" w:cs="Arial" w:eastAsia="Arial" w:hAnsi="Arial"/>
                <w:sz w:val="16"/>
                <w:szCs w:val="16"/>
                <w:color w:val="auto"/>
              </w:rPr>
              <w:t>Active</w:t>
            </w:r>
          </w:p>
        </w:tc>
      </w:tr>
      <w:tr>
        <w:trPr>
          <w:trHeight w:val="215"/>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Osterreichische Gold-</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und Silber-</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Scheideanstalt GmbH</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1"/>
        </w:trPr>
        <w:tc>
          <w:tcPr>
            <w:tcW w:w="1080" w:type="dxa"/>
            <w:vAlign w:val="bottom"/>
          </w:tcPr>
          <w:p>
            <w:pPr>
              <w:spacing w:after="0"/>
              <w:rPr>
                <w:sz w:val="20"/>
                <w:szCs w:val="20"/>
                <w:color w:val="auto"/>
              </w:rPr>
            </w:pPr>
            <w:r>
              <w:rPr>
                <w:rFonts w:ascii="Arial" w:cs="Arial" w:eastAsia="Arial" w:hAnsi="Arial"/>
                <w:sz w:val="16"/>
                <w:szCs w:val="16"/>
                <w:color w:val="auto"/>
              </w:rPr>
              <w:t>CID001955</w:t>
            </w:r>
          </w:p>
        </w:tc>
        <w:tc>
          <w:tcPr>
            <w:tcW w:w="940" w:type="dxa"/>
            <w:vAlign w:val="bottom"/>
          </w:tcPr>
          <w:p>
            <w:pPr>
              <w:ind w:left="280"/>
              <w:spacing w:after="0"/>
              <w:rPr>
                <w:sz w:val="20"/>
                <w:szCs w:val="20"/>
                <w:color w:val="auto"/>
              </w:rPr>
            </w:pPr>
            <w:r>
              <w:rPr>
                <w:rFonts w:ascii="Arial" w:cs="Arial" w:eastAsia="Arial" w:hAnsi="Arial"/>
                <w:sz w:val="16"/>
                <w:szCs w:val="16"/>
                <w:color w:val="auto"/>
              </w:rPr>
              <w:t>Gold</w:t>
            </w:r>
          </w:p>
        </w:tc>
        <w:tc>
          <w:tcPr>
            <w:tcW w:w="2000" w:type="dxa"/>
            <w:vAlign w:val="bottom"/>
          </w:tcPr>
          <w:p>
            <w:pPr>
              <w:ind w:left="300"/>
              <w:spacing w:after="0"/>
              <w:rPr>
                <w:sz w:val="20"/>
                <w:szCs w:val="20"/>
                <w:color w:val="auto"/>
              </w:rPr>
            </w:pPr>
            <w:r>
              <w:rPr>
                <w:rFonts w:ascii="Arial" w:cs="Arial" w:eastAsia="Arial" w:hAnsi="Arial"/>
                <w:sz w:val="16"/>
                <w:szCs w:val="16"/>
                <w:color w:val="auto"/>
              </w:rPr>
              <w:t>Torecom</w:t>
            </w:r>
          </w:p>
        </w:tc>
        <w:tc>
          <w:tcPr>
            <w:tcW w:w="1680" w:type="dxa"/>
            <w:vAlign w:val="bottom"/>
          </w:tcPr>
          <w:p>
            <w:pPr>
              <w:ind w:left="80"/>
              <w:spacing w:after="0"/>
              <w:rPr>
                <w:sz w:val="20"/>
                <w:szCs w:val="20"/>
                <w:color w:val="auto"/>
              </w:rPr>
            </w:pPr>
            <w:r>
              <w:rPr>
                <w:rFonts w:ascii="Arial" w:cs="Arial" w:eastAsia="Arial" w:hAnsi="Arial"/>
                <w:sz w:val="16"/>
                <w:szCs w:val="16"/>
                <w:color w:val="auto"/>
              </w:rPr>
              <w:t>KOREA, REPUBLIC</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1/31/2025</w:t>
            </w:r>
          </w:p>
        </w:tc>
        <w:tc>
          <w:tcPr>
            <w:tcW w:w="1840" w:type="dxa"/>
            <w:vAlign w:val="bottom"/>
          </w:tcPr>
          <w:p>
            <w:pPr>
              <w:ind w:left="440"/>
              <w:spacing w:after="0"/>
              <w:rPr>
                <w:sz w:val="20"/>
                <w:szCs w:val="20"/>
                <w:color w:val="auto"/>
              </w:rPr>
            </w:pPr>
            <w:r>
              <w:rPr>
                <w:rFonts w:ascii="Arial" w:cs="Arial" w:eastAsia="Arial" w:hAnsi="Arial"/>
                <w:sz w:val="16"/>
                <w:szCs w:val="16"/>
                <w:color w:val="auto"/>
              </w:rPr>
              <w:t>Non Conformant</w:t>
            </w:r>
          </w:p>
        </w:tc>
      </w:tr>
      <w:tr>
        <w:trPr>
          <w:trHeight w:val="215"/>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OF</w:t>
            </w: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6"/>
                <w:szCs w:val="16"/>
                <w:color w:val="auto"/>
              </w:rPr>
              <w:t>CID003615</w:t>
            </w:r>
          </w:p>
        </w:tc>
        <w:tc>
          <w:tcPr>
            <w:tcW w:w="940" w:type="dxa"/>
            <w:vAlign w:val="bottom"/>
          </w:tcPr>
          <w:p>
            <w:pPr>
              <w:ind w:left="280"/>
              <w:spacing w:after="0"/>
              <w:rPr>
                <w:sz w:val="20"/>
                <w:szCs w:val="20"/>
                <w:color w:val="auto"/>
              </w:rPr>
            </w:pPr>
            <w:r>
              <w:rPr>
                <w:rFonts w:ascii="Arial" w:cs="Arial" w:eastAsia="Arial" w:hAnsi="Arial"/>
                <w:sz w:val="16"/>
                <w:szCs w:val="16"/>
                <w:color w:val="auto"/>
              </w:rPr>
              <w:t>Gold</w:t>
            </w:r>
          </w:p>
        </w:tc>
        <w:tc>
          <w:tcPr>
            <w:tcW w:w="2000" w:type="dxa"/>
            <w:vAlign w:val="bottom"/>
          </w:tcPr>
          <w:p>
            <w:pPr>
              <w:ind w:left="300"/>
              <w:spacing w:after="0"/>
              <w:rPr>
                <w:sz w:val="20"/>
                <w:szCs w:val="20"/>
                <w:color w:val="auto"/>
              </w:rPr>
            </w:pPr>
            <w:r>
              <w:rPr>
                <w:rFonts w:ascii="Arial" w:cs="Arial" w:eastAsia="Arial" w:hAnsi="Arial"/>
                <w:sz w:val="16"/>
                <w:szCs w:val="16"/>
                <w:color w:val="auto"/>
              </w:rPr>
              <w:t>WEEEREFINING</w:t>
            </w:r>
          </w:p>
        </w:tc>
        <w:tc>
          <w:tcPr>
            <w:tcW w:w="1680" w:type="dxa"/>
            <w:vAlign w:val="bottom"/>
          </w:tcPr>
          <w:p>
            <w:pPr>
              <w:ind w:left="80"/>
              <w:spacing w:after="0"/>
              <w:rPr>
                <w:sz w:val="20"/>
                <w:szCs w:val="20"/>
                <w:color w:val="auto"/>
              </w:rPr>
            </w:pPr>
            <w:r>
              <w:rPr>
                <w:rFonts w:ascii="Arial" w:cs="Arial" w:eastAsia="Arial" w:hAnsi="Arial"/>
                <w:sz w:val="16"/>
                <w:szCs w:val="16"/>
                <w:color w:val="auto"/>
              </w:rPr>
              <w:t>FRANCE</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6/30/2025</w:t>
            </w:r>
          </w:p>
        </w:tc>
        <w:tc>
          <w:tcPr>
            <w:tcW w:w="1840" w:type="dxa"/>
            <w:vAlign w:val="bottom"/>
          </w:tcPr>
          <w:p>
            <w:pPr>
              <w:ind w:left="440"/>
              <w:spacing w:after="0"/>
              <w:rPr>
                <w:sz w:val="20"/>
                <w:szCs w:val="20"/>
                <w:color w:val="auto"/>
              </w:rPr>
            </w:pPr>
            <w:r>
              <w:rPr>
                <w:rFonts w:ascii="Arial" w:cs="Arial" w:eastAsia="Arial" w:hAnsi="Arial"/>
                <w:sz w:val="16"/>
                <w:szCs w:val="16"/>
                <w:color w:val="auto"/>
              </w:rPr>
              <w:t>Non Conformant</w:t>
            </w:r>
          </w:p>
        </w:tc>
      </w:tr>
      <w:tr>
        <w:trPr>
          <w:trHeight w:val="244"/>
        </w:trPr>
        <w:tc>
          <w:tcPr>
            <w:tcW w:w="1080" w:type="dxa"/>
            <w:vAlign w:val="bottom"/>
          </w:tcPr>
          <w:p>
            <w:pPr>
              <w:spacing w:after="0"/>
              <w:rPr>
                <w:sz w:val="20"/>
                <w:szCs w:val="20"/>
                <w:color w:val="auto"/>
              </w:rPr>
            </w:pPr>
            <w:r>
              <w:rPr>
                <w:rFonts w:ascii="Arial" w:cs="Arial" w:eastAsia="Arial" w:hAnsi="Arial"/>
                <w:sz w:val="16"/>
                <w:szCs w:val="16"/>
                <w:color w:val="auto"/>
              </w:rPr>
              <w:t>CID003486</w:t>
            </w:r>
          </w:p>
        </w:tc>
        <w:tc>
          <w:tcPr>
            <w:tcW w:w="940" w:type="dxa"/>
            <w:vAlign w:val="bottom"/>
          </w:tcPr>
          <w:p>
            <w:pPr>
              <w:ind w:left="280"/>
              <w:spacing w:after="0"/>
              <w:rPr>
                <w:sz w:val="20"/>
                <w:szCs w:val="20"/>
                <w:color w:val="auto"/>
              </w:rPr>
            </w:pPr>
            <w:r>
              <w:rPr>
                <w:rFonts w:ascii="Arial" w:cs="Arial" w:eastAsia="Arial" w:hAnsi="Arial"/>
                <w:sz w:val="16"/>
                <w:szCs w:val="16"/>
                <w:color w:val="auto"/>
              </w:rPr>
              <w:t>Tin</w:t>
            </w:r>
          </w:p>
        </w:tc>
        <w:tc>
          <w:tcPr>
            <w:tcW w:w="2000" w:type="dxa"/>
            <w:vAlign w:val="bottom"/>
          </w:tcPr>
          <w:p>
            <w:pPr>
              <w:ind w:left="300"/>
              <w:spacing w:after="0"/>
              <w:rPr>
                <w:sz w:val="20"/>
                <w:szCs w:val="20"/>
                <w:color w:val="auto"/>
              </w:rPr>
            </w:pPr>
            <w:r>
              <w:rPr>
                <w:rFonts w:ascii="Arial" w:cs="Arial" w:eastAsia="Arial" w:hAnsi="Arial"/>
                <w:sz w:val="16"/>
                <w:szCs w:val="16"/>
                <w:color w:val="auto"/>
              </w:rPr>
              <w:t>CRM Fundicao De</w:t>
            </w:r>
          </w:p>
        </w:tc>
        <w:tc>
          <w:tcPr>
            <w:tcW w:w="1680" w:type="dxa"/>
            <w:vAlign w:val="bottom"/>
          </w:tcPr>
          <w:p>
            <w:pPr>
              <w:ind w:left="80"/>
              <w:spacing w:after="0"/>
              <w:rPr>
                <w:sz w:val="20"/>
                <w:szCs w:val="20"/>
                <w:color w:val="auto"/>
              </w:rPr>
            </w:pPr>
            <w:r>
              <w:rPr>
                <w:rFonts w:ascii="Arial" w:cs="Arial" w:eastAsia="Arial" w:hAnsi="Arial"/>
                <w:sz w:val="16"/>
                <w:szCs w:val="16"/>
                <w:color w:val="auto"/>
              </w:rPr>
              <w:t>BRAZIL</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9/30/2025</w:t>
            </w:r>
          </w:p>
        </w:tc>
        <w:tc>
          <w:tcPr>
            <w:tcW w:w="1840" w:type="dxa"/>
            <w:vAlign w:val="bottom"/>
          </w:tcPr>
          <w:p>
            <w:pPr>
              <w:ind w:left="440"/>
              <w:spacing w:after="0"/>
              <w:rPr>
                <w:sz w:val="20"/>
                <w:szCs w:val="20"/>
                <w:color w:val="auto"/>
              </w:rPr>
            </w:pPr>
            <w:r>
              <w:rPr>
                <w:rFonts w:ascii="Arial" w:cs="Arial" w:eastAsia="Arial" w:hAnsi="Arial"/>
                <w:sz w:val="16"/>
                <w:szCs w:val="16"/>
                <w:color w:val="auto"/>
              </w:rPr>
              <w:t>Non Conformant</w:t>
            </w:r>
          </w:p>
        </w:tc>
      </w:tr>
      <w:tr>
        <w:trPr>
          <w:trHeight w:val="215"/>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Metais E Comercio De</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Equipamentos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Eletronicos Do Brasil</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Ltda</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6"/>
                <w:szCs w:val="16"/>
                <w:color w:val="auto"/>
              </w:rPr>
              <w:t>CID002455</w:t>
            </w:r>
          </w:p>
        </w:tc>
        <w:tc>
          <w:tcPr>
            <w:tcW w:w="940" w:type="dxa"/>
            <w:vAlign w:val="bottom"/>
          </w:tcPr>
          <w:p>
            <w:pPr>
              <w:ind w:left="280"/>
              <w:spacing w:after="0"/>
              <w:rPr>
                <w:sz w:val="20"/>
                <w:szCs w:val="20"/>
                <w:color w:val="auto"/>
              </w:rPr>
            </w:pPr>
            <w:r>
              <w:rPr>
                <w:rFonts w:ascii="Arial" w:cs="Arial" w:eastAsia="Arial" w:hAnsi="Arial"/>
                <w:sz w:val="16"/>
                <w:szCs w:val="16"/>
                <w:color w:val="auto"/>
              </w:rPr>
              <w:t>Tin</w:t>
            </w:r>
          </w:p>
        </w:tc>
        <w:tc>
          <w:tcPr>
            <w:tcW w:w="2000" w:type="dxa"/>
            <w:vAlign w:val="bottom"/>
          </w:tcPr>
          <w:p>
            <w:pPr>
              <w:ind w:left="300"/>
              <w:spacing w:after="0"/>
              <w:rPr>
                <w:sz w:val="20"/>
                <w:szCs w:val="20"/>
                <w:color w:val="auto"/>
              </w:rPr>
            </w:pPr>
            <w:r>
              <w:rPr>
                <w:rFonts w:ascii="Arial" w:cs="Arial" w:eastAsia="Arial" w:hAnsi="Arial"/>
                <w:sz w:val="16"/>
                <w:szCs w:val="16"/>
                <w:color w:val="auto"/>
              </w:rPr>
              <w:t>CV Venus Inti Perkasa</w:t>
            </w:r>
          </w:p>
        </w:tc>
        <w:tc>
          <w:tcPr>
            <w:tcW w:w="168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5/30/2025</w:t>
            </w:r>
          </w:p>
        </w:tc>
        <w:tc>
          <w:tcPr>
            <w:tcW w:w="1840" w:type="dxa"/>
            <w:vAlign w:val="bottom"/>
          </w:tcPr>
          <w:p>
            <w:pPr>
              <w:ind w:left="440"/>
              <w:spacing w:after="0"/>
              <w:rPr>
                <w:sz w:val="20"/>
                <w:szCs w:val="20"/>
                <w:color w:val="auto"/>
              </w:rPr>
            </w:pPr>
            <w:r>
              <w:rPr>
                <w:rFonts w:ascii="Arial" w:cs="Arial" w:eastAsia="Arial" w:hAnsi="Arial"/>
                <w:sz w:val="16"/>
                <w:szCs w:val="16"/>
                <w:color w:val="auto"/>
              </w:rPr>
              <w:t>Ceased Operations</w:t>
            </w:r>
          </w:p>
        </w:tc>
      </w:tr>
      <w:tr>
        <w:trPr>
          <w:trHeight w:val="217"/>
        </w:trPr>
        <w:tc>
          <w:tcPr>
            <w:tcW w:w="1080" w:type="dxa"/>
            <w:vAlign w:val="bottom"/>
          </w:tcPr>
          <w:p>
            <w:pPr>
              <w:spacing w:after="0"/>
              <w:rPr>
                <w:sz w:val="20"/>
                <w:szCs w:val="20"/>
                <w:color w:val="auto"/>
              </w:rPr>
            </w:pPr>
            <w:r>
              <w:rPr>
                <w:rFonts w:ascii="Arial" w:cs="Arial" w:eastAsia="Arial" w:hAnsi="Arial"/>
                <w:sz w:val="16"/>
                <w:szCs w:val="16"/>
                <w:color w:val="auto"/>
              </w:rPr>
              <w:t>CID003582</w:t>
            </w:r>
          </w:p>
        </w:tc>
        <w:tc>
          <w:tcPr>
            <w:tcW w:w="940" w:type="dxa"/>
            <w:vAlign w:val="bottom"/>
          </w:tcPr>
          <w:p>
            <w:pPr>
              <w:ind w:left="280"/>
              <w:spacing w:after="0"/>
              <w:rPr>
                <w:sz w:val="20"/>
                <w:szCs w:val="20"/>
                <w:color w:val="auto"/>
              </w:rPr>
            </w:pPr>
            <w:r>
              <w:rPr>
                <w:rFonts w:ascii="Arial" w:cs="Arial" w:eastAsia="Arial" w:hAnsi="Arial"/>
                <w:sz w:val="16"/>
                <w:szCs w:val="16"/>
                <w:color w:val="auto"/>
              </w:rPr>
              <w:t>Tin</w:t>
            </w:r>
          </w:p>
        </w:tc>
        <w:tc>
          <w:tcPr>
            <w:tcW w:w="2000" w:type="dxa"/>
            <w:vAlign w:val="bottom"/>
          </w:tcPr>
          <w:p>
            <w:pPr>
              <w:ind w:left="300"/>
              <w:spacing w:after="0"/>
              <w:rPr>
                <w:sz w:val="20"/>
                <w:szCs w:val="20"/>
                <w:color w:val="auto"/>
              </w:rPr>
            </w:pPr>
            <w:r>
              <w:rPr>
                <w:rFonts w:ascii="Arial" w:cs="Arial" w:eastAsia="Arial" w:hAnsi="Arial"/>
                <w:sz w:val="16"/>
                <w:szCs w:val="16"/>
                <w:color w:val="auto"/>
              </w:rPr>
              <w:t>Fabrica Auricchio</w:t>
            </w:r>
          </w:p>
        </w:tc>
        <w:tc>
          <w:tcPr>
            <w:tcW w:w="1680" w:type="dxa"/>
            <w:vAlign w:val="bottom"/>
          </w:tcPr>
          <w:p>
            <w:pPr>
              <w:ind w:left="80"/>
              <w:spacing w:after="0"/>
              <w:rPr>
                <w:sz w:val="20"/>
                <w:szCs w:val="20"/>
                <w:color w:val="auto"/>
              </w:rPr>
            </w:pPr>
            <w:r>
              <w:rPr>
                <w:rFonts w:ascii="Arial" w:cs="Arial" w:eastAsia="Arial" w:hAnsi="Arial"/>
                <w:sz w:val="16"/>
                <w:szCs w:val="16"/>
                <w:color w:val="auto"/>
              </w:rPr>
              <w:t>BRAZIL</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1/31/2025</w:t>
            </w:r>
          </w:p>
        </w:tc>
        <w:tc>
          <w:tcPr>
            <w:tcW w:w="1840" w:type="dxa"/>
            <w:vAlign w:val="bottom"/>
          </w:tcPr>
          <w:p>
            <w:pPr>
              <w:ind w:left="440"/>
              <w:spacing w:after="0"/>
              <w:rPr>
                <w:sz w:val="20"/>
                <w:szCs w:val="20"/>
                <w:color w:val="auto"/>
              </w:rPr>
            </w:pPr>
            <w:r>
              <w:rPr>
                <w:rFonts w:ascii="Arial" w:cs="Arial" w:eastAsia="Arial" w:hAnsi="Arial"/>
                <w:sz w:val="16"/>
                <w:szCs w:val="16"/>
                <w:color w:val="auto"/>
              </w:rPr>
              <w:t>Active</w:t>
            </w:r>
          </w:p>
        </w:tc>
      </w:tr>
      <w:tr>
        <w:trPr>
          <w:trHeight w:val="215"/>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Industria e Comercio</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Ltda.</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1"/>
        </w:trPr>
        <w:tc>
          <w:tcPr>
            <w:tcW w:w="1080" w:type="dxa"/>
            <w:vAlign w:val="bottom"/>
          </w:tcPr>
          <w:p>
            <w:pPr>
              <w:spacing w:after="0"/>
              <w:rPr>
                <w:sz w:val="20"/>
                <w:szCs w:val="20"/>
                <w:color w:val="auto"/>
              </w:rPr>
            </w:pPr>
            <w:r>
              <w:rPr>
                <w:rFonts w:ascii="Arial" w:cs="Arial" w:eastAsia="Arial" w:hAnsi="Arial"/>
                <w:sz w:val="16"/>
                <w:szCs w:val="16"/>
                <w:color w:val="auto"/>
              </w:rPr>
              <w:t>CID001231</w:t>
            </w:r>
          </w:p>
        </w:tc>
        <w:tc>
          <w:tcPr>
            <w:tcW w:w="940" w:type="dxa"/>
            <w:vAlign w:val="bottom"/>
          </w:tcPr>
          <w:p>
            <w:pPr>
              <w:ind w:left="280"/>
              <w:spacing w:after="0"/>
              <w:rPr>
                <w:sz w:val="20"/>
                <w:szCs w:val="20"/>
                <w:color w:val="auto"/>
              </w:rPr>
            </w:pPr>
            <w:r>
              <w:rPr>
                <w:rFonts w:ascii="Arial" w:cs="Arial" w:eastAsia="Arial" w:hAnsi="Arial"/>
                <w:sz w:val="16"/>
                <w:szCs w:val="16"/>
                <w:color w:val="auto"/>
              </w:rPr>
              <w:t>Tin</w:t>
            </w:r>
          </w:p>
        </w:tc>
        <w:tc>
          <w:tcPr>
            <w:tcW w:w="2000" w:type="dxa"/>
            <w:vAlign w:val="bottom"/>
          </w:tcPr>
          <w:p>
            <w:pPr>
              <w:ind w:left="300"/>
              <w:spacing w:after="0"/>
              <w:rPr>
                <w:sz w:val="20"/>
                <w:szCs w:val="20"/>
                <w:color w:val="auto"/>
              </w:rPr>
            </w:pPr>
            <w:r>
              <w:rPr>
                <w:rFonts w:ascii="Arial" w:cs="Arial" w:eastAsia="Arial" w:hAnsi="Arial"/>
                <w:sz w:val="16"/>
                <w:szCs w:val="16"/>
                <w:color w:val="auto"/>
              </w:rPr>
              <w:t>Jiangxi New Nanshan</w:t>
            </w:r>
          </w:p>
        </w:tc>
        <w:tc>
          <w:tcPr>
            <w:tcW w:w="1680" w:type="dxa"/>
            <w:vAlign w:val="bottom"/>
          </w:tcPr>
          <w:p>
            <w:pPr>
              <w:ind w:left="80"/>
              <w:spacing w:after="0"/>
              <w:rPr>
                <w:sz w:val="20"/>
                <w:szCs w:val="20"/>
                <w:color w:val="auto"/>
              </w:rPr>
            </w:pPr>
            <w:r>
              <w:rPr>
                <w:rFonts w:ascii="Arial" w:cs="Arial" w:eastAsia="Arial" w:hAnsi="Arial"/>
                <w:sz w:val="16"/>
                <w:szCs w:val="16"/>
                <w:color w:val="auto"/>
              </w:rPr>
              <w:t>CHINA</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6/16/2025</w:t>
            </w:r>
          </w:p>
        </w:tc>
        <w:tc>
          <w:tcPr>
            <w:tcW w:w="1840" w:type="dxa"/>
            <w:vAlign w:val="bottom"/>
          </w:tcPr>
          <w:p>
            <w:pPr>
              <w:ind w:left="440"/>
              <w:spacing w:after="0"/>
              <w:rPr>
                <w:sz w:val="20"/>
                <w:szCs w:val="20"/>
                <w:color w:val="auto"/>
              </w:rPr>
            </w:pPr>
            <w:r>
              <w:rPr>
                <w:rFonts w:ascii="Arial" w:cs="Arial" w:eastAsia="Arial" w:hAnsi="Arial"/>
                <w:sz w:val="16"/>
                <w:szCs w:val="16"/>
                <w:color w:val="auto"/>
              </w:rPr>
              <w:t>Non Conformant</w:t>
            </w:r>
          </w:p>
        </w:tc>
      </w:tr>
      <w:tr>
        <w:trPr>
          <w:trHeight w:val="215"/>
        </w:trPr>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color w:val="auto"/>
              </w:rPr>
              <w:t>Technology Ltd.</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ectPr>
          <w:pgSz w:w="11900" w:h="16849" w:orient="portrait"/>
          <w:cols w:equalWidth="0" w:num="1">
            <w:col w:w="9540"/>
          </w:cols>
          <w:pgMar w:left="1440" w:top="140" w:right="919" w:bottom="0" w:gutter="0" w:footer="0" w:header="0"/>
        </w:sectPr>
      </w:pPr>
    </w:p>
    <w:bookmarkStart w:id="19" w:name="page20"/>
    <w:bookmarkEnd w:id="19"/>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22"/>
        </w:trPr>
        <w:tc>
          <w:tcPr>
            <w:tcW w:w="1360" w:type="dxa"/>
            <w:vAlign w:val="bottom"/>
            <w:tcBorders>
              <w:top w:val="single" w:sz="8" w:color="BFBFBF"/>
            </w:tcBorders>
          </w:tcPr>
          <w:p>
            <w:pPr>
              <w:ind w:left="120"/>
              <w:spacing w:after="0" w:line="122" w:lineRule="exact"/>
              <w:rPr>
                <w:sz w:val="20"/>
                <w:szCs w:val="20"/>
                <w:color w:val="auto"/>
              </w:rPr>
            </w:pPr>
            <w:r>
              <w:rPr>
                <w:rFonts w:ascii="Arial" w:cs="Arial" w:eastAsia="Arial" w:hAnsi="Arial"/>
                <w:sz w:val="14"/>
                <w:szCs w:val="14"/>
                <w:color w:val="auto"/>
              </w:rPr>
              <w:t>CID000309</w:t>
            </w:r>
          </w:p>
        </w:tc>
        <w:tc>
          <w:tcPr>
            <w:tcW w:w="940" w:type="dxa"/>
            <w:vAlign w:val="bottom"/>
            <w:tcBorders>
              <w:top w:val="single" w:sz="8" w:color="BFBFBF"/>
            </w:tcBorders>
          </w:tcPr>
          <w:p>
            <w:pPr>
              <w:ind w:left="120"/>
              <w:spacing w:after="0" w:line="122" w:lineRule="exact"/>
              <w:rPr>
                <w:sz w:val="20"/>
                <w:szCs w:val="20"/>
                <w:color w:val="auto"/>
              </w:rPr>
            </w:pPr>
            <w:r>
              <w:rPr>
                <w:rFonts w:ascii="Arial" w:cs="Arial" w:eastAsia="Arial" w:hAnsi="Arial"/>
                <w:sz w:val="14"/>
                <w:szCs w:val="14"/>
                <w:color w:val="auto"/>
              </w:rPr>
              <w:t>Tin</w:t>
            </w:r>
          </w:p>
        </w:tc>
        <w:tc>
          <w:tcPr>
            <w:tcW w:w="1840" w:type="dxa"/>
            <w:vAlign w:val="bottom"/>
            <w:tcBorders>
              <w:top w:val="single" w:sz="8" w:color="BFBFBF"/>
            </w:tcBorders>
          </w:tcPr>
          <w:p>
            <w:pPr>
              <w:ind w:left="140"/>
              <w:spacing w:after="0" w:line="122" w:lineRule="exact"/>
              <w:rPr>
                <w:sz w:val="20"/>
                <w:szCs w:val="20"/>
                <w:color w:val="auto"/>
              </w:rPr>
            </w:pPr>
            <w:r>
              <w:rPr>
                <w:rFonts w:ascii="Arial" w:cs="Arial" w:eastAsia="Arial" w:hAnsi="Arial"/>
                <w:sz w:val="14"/>
                <w:szCs w:val="14"/>
                <w:color w:val="auto"/>
              </w:rPr>
              <w:t>PT Aries Kencana</w:t>
            </w:r>
          </w:p>
        </w:tc>
        <w:tc>
          <w:tcPr>
            <w:tcW w:w="1560" w:type="dxa"/>
            <w:vAlign w:val="bottom"/>
            <w:tcBorders>
              <w:top w:val="single" w:sz="8" w:color="BFBFBF"/>
            </w:tcBorders>
          </w:tcPr>
          <w:p>
            <w:pPr>
              <w:ind w:left="80"/>
              <w:spacing w:after="0" w:line="122" w:lineRule="exact"/>
              <w:rPr>
                <w:sz w:val="20"/>
                <w:szCs w:val="20"/>
                <w:color w:val="auto"/>
              </w:rPr>
            </w:pPr>
            <w:r>
              <w:rPr>
                <w:rFonts w:ascii="Arial" w:cs="Arial" w:eastAsia="Arial" w:hAnsi="Arial"/>
                <w:sz w:val="14"/>
                <w:szCs w:val="14"/>
                <w:color w:val="auto"/>
              </w:rPr>
              <w:t>INDONESIA</w:t>
            </w:r>
          </w:p>
        </w:tc>
        <w:tc>
          <w:tcPr>
            <w:tcW w:w="1660" w:type="dxa"/>
            <w:vAlign w:val="bottom"/>
            <w:tcBorders>
              <w:top w:val="single" w:sz="8" w:color="BFBFBF"/>
            </w:tcBorders>
          </w:tcPr>
          <w:p>
            <w:pPr>
              <w:ind w:left="220"/>
              <w:spacing w:after="0" w:line="122" w:lineRule="exact"/>
              <w:rPr>
                <w:sz w:val="20"/>
                <w:szCs w:val="20"/>
                <w:color w:val="auto"/>
              </w:rPr>
            </w:pPr>
            <w:r>
              <w:rPr>
                <w:rFonts w:ascii="Arial" w:cs="Arial" w:eastAsia="Arial" w:hAnsi="Arial"/>
                <w:sz w:val="14"/>
                <w:szCs w:val="14"/>
                <w:color w:val="auto"/>
              </w:rPr>
              <w:t>7/31/2025</w:t>
            </w:r>
          </w:p>
        </w:tc>
        <w:tc>
          <w:tcPr>
            <w:tcW w:w="1740" w:type="dxa"/>
            <w:vAlign w:val="bottom"/>
            <w:tcBorders>
              <w:top w:val="single" w:sz="8" w:color="BFBFBF"/>
            </w:tcBorders>
          </w:tcPr>
          <w:p>
            <w:pPr>
              <w:ind w:left="180"/>
              <w:spacing w:after="0" w:line="122" w:lineRule="exact"/>
              <w:rPr>
                <w:sz w:val="20"/>
                <w:szCs w:val="20"/>
                <w:color w:val="auto"/>
              </w:rPr>
            </w:pPr>
            <w:r>
              <w:rPr>
                <w:rFonts w:ascii="Arial" w:cs="Arial" w:eastAsia="Arial" w:hAnsi="Arial"/>
                <w:sz w:val="14"/>
                <w:szCs w:val="14"/>
                <w:color w:val="auto"/>
              </w:rPr>
              <w:t>Ceased Operations</w:t>
            </w:r>
          </w:p>
        </w:tc>
        <w:tc>
          <w:tcPr>
            <w:tcW w:w="0" w:type="dxa"/>
            <w:vAlign w:val="bottom"/>
          </w:tcPr>
          <w:p>
            <w:pPr>
              <w:spacing w:after="0"/>
              <w:rPr>
                <w:sz w:val="1"/>
                <w:szCs w:val="1"/>
                <w:color w:val="auto"/>
              </w:rPr>
            </w:pPr>
          </w:p>
        </w:tc>
      </w:tr>
      <w:tr>
        <w:trPr>
          <w:trHeight w:val="54"/>
        </w:trPr>
        <w:tc>
          <w:tcPr>
            <w:tcW w:w="1360" w:type="dxa"/>
            <w:vAlign w:val="bottom"/>
          </w:tcPr>
          <w:p>
            <w:pPr>
              <w:ind w:left="120"/>
              <w:spacing w:after="0" w:line="54" w:lineRule="exact"/>
              <w:rPr>
                <w:sz w:val="20"/>
                <w:szCs w:val="20"/>
                <w:color w:val="auto"/>
              </w:rPr>
            </w:pPr>
            <w:r>
              <w:rPr>
                <w:rFonts w:ascii="Arial" w:cs="Arial" w:eastAsia="Arial" w:hAnsi="Arial"/>
                <w:sz w:val="6"/>
                <w:szCs w:val="6"/>
                <w:b w:val="1"/>
                <w:bCs w:val="1"/>
                <w:color w:val="FFFFFF"/>
              </w:rPr>
              <w:t>RMAP Smelter</w:t>
            </w:r>
          </w:p>
        </w:tc>
        <w:tc>
          <w:tcPr>
            <w:tcW w:w="940" w:type="dxa"/>
            <w:vAlign w:val="bottom"/>
          </w:tcPr>
          <w:p>
            <w:pPr>
              <w:ind w:left="120"/>
              <w:spacing w:after="0" w:line="54" w:lineRule="exact"/>
              <w:rPr>
                <w:sz w:val="20"/>
                <w:szCs w:val="20"/>
                <w:color w:val="auto"/>
              </w:rPr>
            </w:pPr>
            <w:r>
              <w:rPr>
                <w:rFonts w:ascii="Arial" w:cs="Arial" w:eastAsia="Arial" w:hAnsi="Arial"/>
                <w:sz w:val="6"/>
                <w:szCs w:val="6"/>
                <w:b w:val="1"/>
                <w:bCs w:val="1"/>
                <w:color w:val="FFFFFF"/>
              </w:rPr>
              <w:t>Metal</w:t>
            </w:r>
          </w:p>
        </w:tc>
        <w:tc>
          <w:tcPr>
            <w:tcW w:w="1840" w:type="dxa"/>
            <w:vAlign w:val="bottom"/>
          </w:tcPr>
          <w:p>
            <w:pPr>
              <w:ind w:left="140"/>
              <w:spacing w:after="0" w:line="54" w:lineRule="exact"/>
              <w:rPr>
                <w:sz w:val="20"/>
                <w:szCs w:val="20"/>
                <w:color w:val="auto"/>
              </w:rPr>
            </w:pPr>
            <w:r>
              <w:rPr>
                <w:rFonts w:ascii="Arial" w:cs="Arial" w:eastAsia="Arial" w:hAnsi="Arial"/>
                <w:sz w:val="6"/>
                <w:szCs w:val="6"/>
                <w:b w:val="1"/>
                <w:bCs w:val="1"/>
                <w:color w:val="FFFFFF"/>
              </w:rPr>
              <w:t>Smelter Name</w:t>
            </w:r>
          </w:p>
        </w:tc>
        <w:tc>
          <w:tcPr>
            <w:tcW w:w="1560" w:type="dxa"/>
            <w:vAlign w:val="bottom"/>
          </w:tcPr>
          <w:p>
            <w:pPr>
              <w:ind w:left="80"/>
              <w:spacing w:after="0" w:line="54" w:lineRule="exact"/>
              <w:rPr>
                <w:sz w:val="20"/>
                <w:szCs w:val="20"/>
                <w:color w:val="auto"/>
              </w:rPr>
            </w:pPr>
            <w:r>
              <w:rPr>
                <w:rFonts w:ascii="Arial" w:cs="Arial" w:eastAsia="Arial" w:hAnsi="Arial"/>
                <w:sz w:val="6"/>
                <w:szCs w:val="6"/>
                <w:b w:val="1"/>
                <w:bCs w:val="1"/>
                <w:color w:val="FFFFFF"/>
              </w:rPr>
              <w:t>Smelter Country</w:t>
            </w:r>
          </w:p>
        </w:tc>
        <w:tc>
          <w:tcPr>
            <w:tcW w:w="1660" w:type="dxa"/>
            <w:vAlign w:val="bottom"/>
          </w:tcPr>
          <w:p>
            <w:pPr>
              <w:ind w:left="220"/>
              <w:spacing w:after="0" w:line="54" w:lineRule="exact"/>
              <w:rPr>
                <w:sz w:val="20"/>
                <w:szCs w:val="20"/>
                <w:color w:val="auto"/>
              </w:rPr>
            </w:pPr>
            <w:r>
              <w:rPr>
                <w:rFonts w:ascii="Arial" w:cs="Arial" w:eastAsia="Arial" w:hAnsi="Arial"/>
                <w:sz w:val="6"/>
                <w:szCs w:val="6"/>
                <w:b w:val="1"/>
                <w:bCs w:val="1"/>
                <w:color w:val="FFFFFF"/>
              </w:rPr>
              <w:t>Month of</w:t>
            </w:r>
          </w:p>
        </w:tc>
        <w:tc>
          <w:tcPr>
            <w:tcW w:w="1740" w:type="dxa"/>
            <w:vAlign w:val="bottom"/>
          </w:tcPr>
          <w:p>
            <w:pPr>
              <w:ind w:left="180"/>
              <w:spacing w:after="0" w:line="54" w:lineRule="exact"/>
              <w:rPr>
                <w:sz w:val="20"/>
                <w:szCs w:val="20"/>
                <w:color w:val="auto"/>
              </w:rPr>
            </w:pPr>
            <w:r>
              <w:rPr>
                <w:rFonts w:ascii="Arial" w:cs="Arial" w:eastAsia="Arial" w:hAnsi="Arial"/>
                <w:sz w:val="6"/>
                <w:szCs w:val="6"/>
                <w:b w:val="1"/>
                <w:bCs w:val="1"/>
                <w:color w:val="FFFFFF"/>
              </w:rPr>
              <w:t>RMI conformity</w:t>
            </w:r>
          </w:p>
        </w:tc>
        <w:tc>
          <w:tcPr>
            <w:tcW w:w="0" w:type="dxa"/>
            <w:vAlign w:val="bottom"/>
          </w:tcPr>
          <w:p>
            <w:pPr>
              <w:spacing w:after="0"/>
              <w:rPr>
                <w:sz w:val="1"/>
                <w:szCs w:val="1"/>
                <w:color w:val="auto"/>
              </w:rPr>
            </w:pPr>
          </w:p>
        </w:tc>
      </w:tr>
      <w:tr>
        <w:trPr>
          <w:trHeight w:val="229"/>
        </w:trPr>
        <w:tc>
          <w:tcPr>
            <w:tcW w:w="1360" w:type="dxa"/>
            <w:vAlign w:val="bottom"/>
          </w:tcPr>
          <w:p>
            <w:pPr>
              <w:ind w:left="120"/>
              <w:spacing w:after="0"/>
              <w:rPr>
                <w:sz w:val="20"/>
                <w:szCs w:val="20"/>
                <w:color w:val="auto"/>
              </w:rPr>
            </w:pPr>
            <w:r>
              <w:rPr>
                <w:rFonts w:ascii="Arial" w:cs="Arial" w:eastAsia="Arial" w:hAnsi="Arial"/>
                <w:sz w:val="16"/>
                <w:szCs w:val="16"/>
                <w:b w:val="1"/>
                <w:bCs w:val="1"/>
                <w:color w:val="FFFFFF"/>
              </w:rPr>
              <w:t>Identification</w:t>
            </w:r>
          </w:p>
        </w:tc>
        <w:tc>
          <w:tcPr>
            <w:tcW w:w="94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Sejahtera</w:t>
            </w:r>
          </w:p>
        </w:tc>
        <w:tc>
          <w:tcPr>
            <w:tcW w:w="1560" w:type="dxa"/>
            <w:vAlign w:val="bottom"/>
          </w:tcPr>
          <w:p>
            <w:pPr>
              <w:spacing w:after="0"/>
              <w:rPr>
                <w:sz w:val="19"/>
                <w:szCs w:val="19"/>
                <w:color w:val="auto"/>
              </w:rPr>
            </w:pPr>
          </w:p>
        </w:tc>
        <w:tc>
          <w:tcPr>
            <w:tcW w:w="1660" w:type="dxa"/>
            <w:vAlign w:val="bottom"/>
          </w:tcPr>
          <w:p>
            <w:pPr>
              <w:ind w:left="220"/>
              <w:spacing w:after="0"/>
              <w:rPr>
                <w:sz w:val="20"/>
                <w:szCs w:val="20"/>
                <w:color w:val="auto"/>
              </w:rPr>
            </w:pPr>
            <w:r>
              <w:rPr>
                <w:rFonts w:ascii="Arial" w:cs="Arial" w:eastAsia="Arial" w:hAnsi="Arial"/>
                <w:sz w:val="16"/>
                <w:szCs w:val="16"/>
                <w:b w:val="1"/>
                <w:bCs w:val="1"/>
                <w:color w:val="FFFFFF"/>
              </w:rPr>
              <w:t>communication</w:t>
            </w:r>
          </w:p>
        </w:tc>
        <w:tc>
          <w:tcPr>
            <w:tcW w:w="1740" w:type="dxa"/>
            <w:vAlign w:val="bottom"/>
          </w:tcPr>
          <w:p>
            <w:pPr>
              <w:ind w:left="180"/>
              <w:spacing w:after="0"/>
              <w:rPr>
                <w:sz w:val="20"/>
                <w:szCs w:val="20"/>
                <w:color w:val="auto"/>
              </w:rPr>
            </w:pPr>
            <w:r>
              <w:rPr>
                <w:rFonts w:ascii="Arial" w:cs="Arial" w:eastAsia="Arial" w:hAnsi="Arial"/>
                <w:sz w:val="16"/>
                <w:szCs w:val="16"/>
                <w:b w:val="1"/>
                <w:bCs w:val="1"/>
                <w:color w:val="FFFFFF"/>
              </w:rPr>
              <w:t>status</w:t>
            </w:r>
          </w:p>
        </w:tc>
        <w:tc>
          <w:tcPr>
            <w:tcW w:w="0" w:type="dxa"/>
            <w:vAlign w:val="bottom"/>
          </w:tcPr>
          <w:p>
            <w:pPr>
              <w:spacing w:after="0"/>
              <w:rPr>
                <w:sz w:val="1"/>
                <w:szCs w:val="1"/>
                <w:color w:val="auto"/>
              </w:rPr>
            </w:pPr>
          </w:p>
        </w:tc>
      </w:tr>
      <w:tr>
        <w:trPr>
          <w:trHeight w:val="163"/>
        </w:trPr>
        <w:tc>
          <w:tcPr>
            <w:tcW w:w="1360" w:type="dxa"/>
            <w:vAlign w:val="bottom"/>
          </w:tcPr>
          <w:p>
            <w:pPr>
              <w:ind w:left="120"/>
              <w:spacing w:after="0" w:line="163" w:lineRule="exact"/>
              <w:rPr>
                <w:sz w:val="20"/>
                <w:szCs w:val="20"/>
                <w:color w:val="auto"/>
              </w:rPr>
            </w:pPr>
            <w:r>
              <w:rPr>
                <w:rFonts w:ascii="Arial" w:cs="Arial" w:eastAsia="Arial" w:hAnsi="Arial"/>
                <w:sz w:val="16"/>
                <w:szCs w:val="16"/>
                <w:color w:val="auto"/>
              </w:rPr>
              <w:t>CID001399</w:t>
            </w:r>
          </w:p>
        </w:tc>
        <w:tc>
          <w:tcPr>
            <w:tcW w:w="940" w:type="dxa"/>
            <w:vAlign w:val="bottom"/>
          </w:tcPr>
          <w:p>
            <w:pPr>
              <w:ind w:left="120"/>
              <w:spacing w:after="0" w:line="163" w:lineRule="exact"/>
              <w:rPr>
                <w:sz w:val="20"/>
                <w:szCs w:val="20"/>
                <w:color w:val="auto"/>
              </w:rPr>
            </w:pPr>
            <w:r>
              <w:rPr>
                <w:rFonts w:ascii="Arial" w:cs="Arial" w:eastAsia="Arial" w:hAnsi="Arial"/>
                <w:sz w:val="16"/>
                <w:szCs w:val="16"/>
                <w:color w:val="auto"/>
              </w:rPr>
              <w:t>Tin</w:t>
            </w:r>
          </w:p>
        </w:tc>
        <w:tc>
          <w:tcPr>
            <w:tcW w:w="1840" w:type="dxa"/>
            <w:vAlign w:val="bottom"/>
          </w:tcPr>
          <w:p>
            <w:pPr>
              <w:ind w:left="140"/>
              <w:spacing w:after="0" w:line="163" w:lineRule="exact"/>
              <w:rPr>
                <w:sz w:val="20"/>
                <w:szCs w:val="20"/>
                <w:color w:val="auto"/>
              </w:rPr>
            </w:pPr>
            <w:r>
              <w:rPr>
                <w:rFonts w:ascii="Arial" w:cs="Arial" w:eastAsia="Arial" w:hAnsi="Arial"/>
                <w:sz w:val="16"/>
                <w:szCs w:val="16"/>
                <w:color w:val="auto"/>
              </w:rPr>
              <w:t>PT Artha Cipta</w:t>
            </w:r>
          </w:p>
        </w:tc>
        <w:tc>
          <w:tcPr>
            <w:tcW w:w="1560" w:type="dxa"/>
            <w:vAlign w:val="bottom"/>
          </w:tcPr>
          <w:p>
            <w:pPr>
              <w:ind w:left="80"/>
              <w:spacing w:after="0" w:line="163" w:lineRule="exact"/>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line="163" w:lineRule="exact"/>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line="163" w:lineRule="exact"/>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94"/>
        </w:trPr>
        <w:tc>
          <w:tcPr>
            <w:tcW w:w="1360" w:type="dxa"/>
            <w:vAlign w:val="bottom"/>
          </w:tcPr>
          <w:p>
            <w:pPr>
              <w:ind w:left="120"/>
              <w:spacing w:after="0" w:line="94" w:lineRule="exact"/>
              <w:rPr>
                <w:sz w:val="20"/>
                <w:szCs w:val="20"/>
                <w:color w:val="auto"/>
              </w:rPr>
            </w:pPr>
            <w:r>
              <w:rPr>
                <w:rFonts w:ascii="Arial" w:cs="Arial" w:eastAsia="Arial" w:hAnsi="Arial"/>
                <w:sz w:val="10"/>
                <w:szCs w:val="10"/>
                <w:b w:val="1"/>
                <w:bCs w:val="1"/>
                <w:color w:val="FFFFFF"/>
              </w:rPr>
              <w:t>Number</w:t>
            </w:r>
          </w:p>
        </w:tc>
        <w:tc>
          <w:tcPr>
            <w:tcW w:w="940" w:type="dxa"/>
            <w:vAlign w:val="bottom"/>
          </w:tcPr>
          <w:p>
            <w:pPr>
              <w:spacing w:after="0"/>
              <w:rPr>
                <w:sz w:val="8"/>
                <w:szCs w:val="8"/>
                <w:color w:val="auto"/>
              </w:rPr>
            </w:pPr>
          </w:p>
        </w:tc>
        <w:tc>
          <w:tcPr>
            <w:tcW w:w="1840" w:type="dxa"/>
            <w:vAlign w:val="bottom"/>
            <w:vMerge w:val="restart"/>
          </w:tcPr>
          <w:p>
            <w:pPr>
              <w:ind w:left="140"/>
              <w:spacing w:after="0"/>
              <w:rPr>
                <w:sz w:val="20"/>
                <w:szCs w:val="20"/>
                <w:color w:val="auto"/>
              </w:rPr>
            </w:pPr>
            <w:r>
              <w:rPr>
                <w:rFonts w:ascii="Arial" w:cs="Arial" w:eastAsia="Arial" w:hAnsi="Arial"/>
                <w:sz w:val="16"/>
                <w:szCs w:val="16"/>
                <w:color w:val="auto"/>
              </w:rPr>
              <w:t>Langgeng</w:t>
            </w:r>
          </w:p>
        </w:tc>
        <w:tc>
          <w:tcPr>
            <w:tcW w:w="1560" w:type="dxa"/>
            <w:vAlign w:val="bottom"/>
          </w:tcPr>
          <w:p>
            <w:pPr>
              <w:spacing w:after="0"/>
              <w:rPr>
                <w:sz w:val="8"/>
                <w:szCs w:val="8"/>
                <w:color w:val="auto"/>
              </w:rPr>
            </w:pPr>
          </w:p>
        </w:tc>
        <w:tc>
          <w:tcPr>
            <w:tcW w:w="1660" w:type="dxa"/>
            <w:vAlign w:val="bottom"/>
          </w:tcPr>
          <w:p>
            <w:pPr>
              <w:ind w:left="220"/>
              <w:spacing w:after="0" w:line="94" w:lineRule="exact"/>
              <w:rPr>
                <w:sz w:val="20"/>
                <w:szCs w:val="20"/>
                <w:color w:val="auto"/>
              </w:rPr>
            </w:pPr>
            <w:r>
              <w:rPr>
                <w:rFonts w:ascii="Arial" w:cs="Arial" w:eastAsia="Arial" w:hAnsi="Arial"/>
                <w:sz w:val="10"/>
                <w:szCs w:val="10"/>
                <w:b w:val="1"/>
                <w:bCs w:val="1"/>
                <w:color w:val="FFFFFF"/>
              </w:rPr>
              <w:t>Effective date</w:t>
            </w: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ind w:left="220"/>
              <w:spacing w:after="0"/>
              <w:rPr>
                <w:sz w:val="20"/>
                <w:szCs w:val="20"/>
                <w:color w:val="auto"/>
              </w:rPr>
            </w:pPr>
            <w:r>
              <w:rPr>
                <w:rFonts w:ascii="Arial" w:cs="Arial" w:eastAsia="Arial" w:hAnsi="Arial"/>
                <w:sz w:val="16"/>
                <w:szCs w:val="16"/>
                <w:b w:val="1"/>
                <w:bCs w:val="1"/>
                <w:color w:val="FFFFFF"/>
              </w:rPr>
              <w:t>reported by RMI</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60" w:type="dxa"/>
            <w:vAlign w:val="bottom"/>
          </w:tcPr>
          <w:p>
            <w:pPr>
              <w:ind w:left="120"/>
              <w:spacing w:after="0"/>
              <w:rPr>
                <w:sz w:val="20"/>
                <w:szCs w:val="20"/>
                <w:color w:val="auto"/>
              </w:rPr>
            </w:pPr>
            <w:r>
              <w:rPr>
                <w:rFonts w:ascii="Arial" w:cs="Arial" w:eastAsia="Arial" w:hAnsi="Arial"/>
                <w:sz w:val="16"/>
                <w:szCs w:val="16"/>
                <w:color w:val="auto"/>
              </w:rPr>
              <w:t>CID001402</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Babel Inti Perkasa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44"/>
        </w:trPr>
        <w:tc>
          <w:tcPr>
            <w:tcW w:w="1360" w:type="dxa"/>
            <w:vAlign w:val="bottom"/>
          </w:tcPr>
          <w:p>
            <w:pPr>
              <w:ind w:left="120"/>
              <w:spacing w:after="0"/>
              <w:rPr>
                <w:sz w:val="20"/>
                <w:szCs w:val="20"/>
                <w:color w:val="auto"/>
              </w:rPr>
            </w:pPr>
            <w:r>
              <w:rPr>
                <w:rFonts w:ascii="Arial" w:cs="Arial" w:eastAsia="Arial" w:hAnsi="Arial"/>
                <w:sz w:val="16"/>
                <w:szCs w:val="16"/>
                <w:color w:val="auto"/>
              </w:rPr>
              <w:t>CID001406</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Babel Surya Alam</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Lestari</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120"/>
              <w:spacing w:after="0"/>
              <w:rPr>
                <w:sz w:val="20"/>
                <w:szCs w:val="20"/>
                <w:color w:val="auto"/>
              </w:rPr>
            </w:pPr>
            <w:r>
              <w:rPr>
                <w:rFonts w:ascii="Arial" w:cs="Arial" w:eastAsia="Arial" w:hAnsi="Arial"/>
                <w:sz w:val="16"/>
                <w:szCs w:val="16"/>
                <w:color w:val="auto"/>
              </w:rPr>
              <w:t>CID003205</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Bangka Serumpun</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7"/>
        </w:trPr>
        <w:tc>
          <w:tcPr>
            <w:tcW w:w="1360" w:type="dxa"/>
            <w:vAlign w:val="bottom"/>
          </w:tcPr>
          <w:p>
            <w:pPr>
              <w:ind w:left="120"/>
              <w:spacing w:after="0"/>
              <w:rPr>
                <w:sz w:val="20"/>
                <w:szCs w:val="20"/>
                <w:color w:val="auto"/>
              </w:rPr>
            </w:pPr>
            <w:r>
              <w:rPr>
                <w:rFonts w:ascii="Arial" w:cs="Arial" w:eastAsia="Arial" w:hAnsi="Arial"/>
                <w:sz w:val="16"/>
                <w:szCs w:val="16"/>
                <w:color w:val="auto"/>
              </w:rPr>
              <w:t>CID001421</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Belitung Industri</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Sejahtera</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120"/>
              <w:spacing w:after="0"/>
              <w:rPr>
                <w:sz w:val="20"/>
                <w:szCs w:val="20"/>
                <w:color w:val="auto"/>
              </w:rPr>
            </w:pPr>
            <w:r>
              <w:rPr>
                <w:rFonts w:ascii="Arial" w:cs="Arial" w:eastAsia="Arial" w:hAnsi="Arial"/>
                <w:sz w:val="16"/>
                <w:szCs w:val="16"/>
                <w:color w:val="auto"/>
              </w:rPr>
              <w:t>CID001428</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Bukit Timah</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44"/>
        </w:trPr>
        <w:tc>
          <w:tcPr>
            <w:tcW w:w="1360" w:type="dxa"/>
            <w:vAlign w:val="bottom"/>
          </w:tcPr>
          <w:p>
            <w:pPr>
              <w:ind w:left="120"/>
              <w:spacing w:after="0"/>
              <w:rPr>
                <w:sz w:val="20"/>
                <w:szCs w:val="20"/>
                <w:color w:val="auto"/>
              </w:rPr>
            </w:pPr>
            <w:r>
              <w:rPr>
                <w:rFonts w:ascii="Arial" w:cs="Arial" w:eastAsia="Arial" w:hAnsi="Arial"/>
                <w:sz w:val="16"/>
                <w:szCs w:val="16"/>
                <w:color w:val="auto"/>
              </w:rPr>
              <w:t>CID002835</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Menara Cipta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Mulia</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20"/>
              <w:spacing w:after="0"/>
              <w:rPr>
                <w:sz w:val="20"/>
                <w:szCs w:val="20"/>
                <w:color w:val="auto"/>
              </w:rPr>
            </w:pPr>
            <w:r>
              <w:rPr>
                <w:rFonts w:ascii="Arial" w:cs="Arial" w:eastAsia="Arial" w:hAnsi="Arial"/>
                <w:sz w:val="16"/>
                <w:szCs w:val="16"/>
                <w:color w:val="auto"/>
              </w:rPr>
              <w:t>CID003381</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Rajawali Rimba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Perkasa</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20"/>
              <w:spacing w:after="0"/>
              <w:rPr>
                <w:sz w:val="20"/>
                <w:szCs w:val="20"/>
                <w:color w:val="auto"/>
              </w:rPr>
            </w:pPr>
            <w:r>
              <w:rPr>
                <w:rFonts w:ascii="Arial" w:cs="Arial" w:eastAsia="Arial" w:hAnsi="Arial"/>
                <w:sz w:val="16"/>
                <w:szCs w:val="16"/>
                <w:color w:val="auto"/>
              </w:rPr>
              <w:t>CID001460</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Refined Bangka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5/30/2025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Tin</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20"/>
              <w:spacing w:after="0"/>
              <w:rPr>
                <w:sz w:val="20"/>
                <w:szCs w:val="20"/>
                <w:color w:val="auto"/>
              </w:rPr>
            </w:pPr>
            <w:r>
              <w:rPr>
                <w:rFonts w:ascii="Arial" w:cs="Arial" w:eastAsia="Arial" w:hAnsi="Arial"/>
                <w:sz w:val="16"/>
                <w:szCs w:val="16"/>
                <w:color w:val="auto"/>
              </w:rPr>
              <w:t>CID001463</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Sariwiguna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5/30/2025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Binasentosa</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20"/>
              <w:spacing w:after="0"/>
              <w:rPr>
                <w:sz w:val="20"/>
                <w:szCs w:val="20"/>
                <w:color w:val="auto"/>
              </w:rPr>
            </w:pPr>
            <w:r>
              <w:rPr>
                <w:rFonts w:ascii="Arial" w:cs="Arial" w:eastAsia="Arial" w:hAnsi="Arial"/>
                <w:sz w:val="16"/>
                <w:szCs w:val="16"/>
                <w:color w:val="auto"/>
              </w:rPr>
              <w:t>CID001468</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Stanindo Inti</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4/30/2025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Perkasa</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20"/>
              <w:spacing w:after="0"/>
              <w:rPr>
                <w:sz w:val="20"/>
                <w:szCs w:val="20"/>
                <w:color w:val="auto"/>
              </w:rPr>
            </w:pPr>
            <w:r>
              <w:rPr>
                <w:rFonts w:ascii="Arial" w:cs="Arial" w:eastAsia="Arial" w:hAnsi="Arial"/>
                <w:sz w:val="16"/>
                <w:szCs w:val="16"/>
                <w:color w:val="auto"/>
              </w:rPr>
              <w:t>CID002816</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Sukses Inti</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Makmur (SIM)</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120"/>
              <w:spacing w:after="0"/>
              <w:rPr>
                <w:sz w:val="20"/>
                <w:szCs w:val="20"/>
                <w:color w:val="auto"/>
              </w:rPr>
            </w:pPr>
            <w:r>
              <w:rPr>
                <w:rFonts w:ascii="Arial" w:cs="Arial" w:eastAsia="Arial" w:hAnsi="Arial"/>
                <w:sz w:val="16"/>
                <w:szCs w:val="16"/>
                <w:color w:val="auto"/>
              </w:rPr>
              <w:t>CID001486</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Timah Nusantara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56"/>
        </w:trPr>
        <w:tc>
          <w:tcPr>
            <w:tcW w:w="1360" w:type="dxa"/>
            <w:vAlign w:val="bottom"/>
            <w:tcBorders>
              <w:bottom w:val="single" w:sz="8" w:color="BFBFBF"/>
            </w:tcBorders>
          </w:tcPr>
          <w:p>
            <w:pPr>
              <w:spacing w:after="0"/>
              <w:rPr>
                <w:sz w:val="4"/>
                <w:szCs w:val="4"/>
                <w:color w:val="auto"/>
              </w:rPr>
            </w:pPr>
          </w:p>
        </w:tc>
        <w:tc>
          <w:tcPr>
            <w:tcW w:w="940" w:type="dxa"/>
            <w:vAlign w:val="bottom"/>
            <w:tcBorders>
              <w:bottom w:val="single" w:sz="8" w:color="BFBFBF"/>
            </w:tcBorders>
          </w:tcPr>
          <w:p>
            <w:pPr>
              <w:spacing w:after="0"/>
              <w:rPr>
                <w:sz w:val="4"/>
                <w:szCs w:val="4"/>
                <w:color w:val="auto"/>
              </w:rPr>
            </w:pPr>
          </w:p>
        </w:tc>
        <w:tc>
          <w:tcPr>
            <w:tcW w:w="1840" w:type="dxa"/>
            <w:vAlign w:val="bottom"/>
            <w:tcBorders>
              <w:bottom w:val="single" w:sz="8" w:color="BFBFBF"/>
            </w:tcBorders>
          </w:tcPr>
          <w:p>
            <w:pPr>
              <w:spacing w:after="0"/>
              <w:rPr>
                <w:sz w:val="4"/>
                <w:szCs w:val="4"/>
                <w:color w:val="auto"/>
              </w:rPr>
            </w:pPr>
          </w:p>
        </w:tc>
        <w:tc>
          <w:tcPr>
            <w:tcW w:w="1560" w:type="dxa"/>
            <w:vAlign w:val="bottom"/>
            <w:tcBorders>
              <w:bottom w:val="single" w:sz="8" w:color="BFBFBF"/>
            </w:tcBorders>
          </w:tcPr>
          <w:p>
            <w:pPr>
              <w:spacing w:after="0"/>
              <w:rPr>
                <w:sz w:val="4"/>
                <w:szCs w:val="4"/>
                <w:color w:val="auto"/>
              </w:rPr>
            </w:pPr>
          </w:p>
        </w:tc>
        <w:tc>
          <w:tcPr>
            <w:tcW w:w="1660" w:type="dxa"/>
            <w:vAlign w:val="bottom"/>
            <w:tcBorders>
              <w:bottom w:val="single" w:sz="8" w:color="BFBFBF"/>
            </w:tcBorders>
          </w:tcPr>
          <w:p>
            <w:pPr>
              <w:spacing w:after="0"/>
              <w:rPr>
                <w:sz w:val="4"/>
                <w:szCs w:val="4"/>
                <w:color w:val="auto"/>
              </w:rPr>
            </w:pPr>
          </w:p>
        </w:tc>
        <w:tc>
          <w:tcPr>
            <w:tcW w:w="174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360" w:type="dxa"/>
            <w:vAlign w:val="bottom"/>
          </w:tcPr>
          <w:p>
            <w:pPr>
              <w:ind w:left="120"/>
              <w:spacing w:after="0"/>
              <w:rPr>
                <w:sz w:val="20"/>
                <w:szCs w:val="20"/>
                <w:color w:val="auto"/>
              </w:rPr>
            </w:pPr>
            <w:r>
              <w:rPr>
                <w:rFonts w:ascii="Arial" w:cs="Arial" w:eastAsia="Arial" w:hAnsi="Arial"/>
                <w:sz w:val="16"/>
                <w:szCs w:val="16"/>
                <w:color w:val="auto"/>
              </w:rPr>
              <w:t>CID001490</w:t>
            </w:r>
          </w:p>
        </w:tc>
        <w:tc>
          <w:tcPr>
            <w:tcW w:w="940" w:type="dxa"/>
            <w:vAlign w:val="bottom"/>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Pr>
          <w:p>
            <w:pPr>
              <w:ind w:left="140"/>
              <w:spacing w:after="0"/>
              <w:rPr>
                <w:sz w:val="20"/>
                <w:szCs w:val="20"/>
                <w:color w:val="auto"/>
              </w:rPr>
            </w:pPr>
            <w:r>
              <w:rPr>
                <w:rFonts w:ascii="Arial" w:cs="Arial" w:eastAsia="Arial" w:hAnsi="Arial"/>
                <w:sz w:val="16"/>
                <w:szCs w:val="16"/>
                <w:color w:val="auto"/>
              </w:rPr>
              <w:t>PT Tinindo Inter Nusa</w:t>
            </w:r>
          </w:p>
        </w:tc>
        <w:tc>
          <w:tcPr>
            <w:tcW w:w="156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Pr>
          <w:p>
            <w:pPr>
              <w:ind w:left="220"/>
              <w:spacing w:after="0"/>
              <w:rPr>
                <w:sz w:val="20"/>
                <w:szCs w:val="20"/>
                <w:color w:val="auto"/>
              </w:rPr>
            </w:pPr>
            <w:r>
              <w:rPr>
                <w:rFonts w:ascii="Arial" w:cs="Arial" w:eastAsia="Arial" w:hAnsi="Arial"/>
                <w:sz w:val="16"/>
                <w:szCs w:val="16"/>
                <w:color w:val="auto"/>
              </w:rPr>
              <w:t>5/30/2025</w:t>
            </w:r>
          </w:p>
        </w:tc>
        <w:tc>
          <w:tcPr>
            <w:tcW w:w="1740" w:type="dxa"/>
            <w:vAlign w:val="bottom"/>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17"/>
        </w:trPr>
        <w:tc>
          <w:tcPr>
            <w:tcW w:w="136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CID001493</w:t>
            </w:r>
          </w:p>
        </w:tc>
        <w:tc>
          <w:tcPr>
            <w:tcW w:w="94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Tin</w:t>
            </w:r>
          </w:p>
        </w:tc>
        <w:tc>
          <w:tcPr>
            <w:tcW w:w="1840" w:type="dxa"/>
            <w:vAlign w:val="bottom"/>
            <w:tcBorders>
              <w:bottom w:val="single" w:sz="8" w:color="BFBFBF"/>
            </w:tcBorders>
          </w:tcPr>
          <w:p>
            <w:pPr>
              <w:ind w:left="140"/>
              <w:spacing w:after="0"/>
              <w:rPr>
                <w:sz w:val="20"/>
                <w:szCs w:val="20"/>
                <w:color w:val="auto"/>
              </w:rPr>
            </w:pPr>
            <w:r>
              <w:rPr>
                <w:rFonts w:ascii="Arial" w:cs="Arial" w:eastAsia="Arial" w:hAnsi="Arial"/>
                <w:sz w:val="16"/>
                <w:szCs w:val="16"/>
                <w:color w:val="auto"/>
              </w:rPr>
              <w:t>PT Tommy Utama</w:t>
            </w:r>
          </w:p>
        </w:tc>
        <w:tc>
          <w:tcPr>
            <w:tcW w:w="1560" w:type="dxa"/>
            <w:vAlign w:val="bottom"/>
            <w:tcBorders>
              <w:bottom w:val="single" w:sz="8" w:color="BFBFBF"/>
            </w:tcBorders>
          </w:tcPr>
          <w:p>
            <w:pPr>
              <w:ind w:left="80"/>
              <w:spacing w:after="0"/>
              <w:rPr>
                <w:sz w:val="20"/>
                <w:szCs w:val="20"/>
                <w:color w:val="auto"/>
              </w:rPr>
            </w:pPr>
            <w:r>
              <w:rPr>
                <w:rFonts w:ascii="Arial" w:cs="Arial" w:eastAsia="Arial" w:hAnsi="Arial"/>
                <w:sz w:val="16"/>
                <w:szCs w:val="16"/>
                <w:color w:val="auto"/>
              </w:rPr>
              <w:t>INDONESIA</w:t>
            </w:r>
          </w:p>
        </w:tc>
        <w:tc>
          <w:tcPr>
            <w:tcW w:w="1660" w:type="dxa"/>
            <w:vAlign w:val="bottom"/>
            <w:tcBorders>
              <w:bottom w:val="single" w:sz="8" w:color="BFBFBF"/>
            </w:tcBorders>
          </w:tcPr>
          <w:p>
            <w:pPr>
              <w:ind w:left="220"/>
              <w:spacing w:after="0"/>
              <w:rPr>
                <w:sz w:val="20"/>
                <w:szCs w:val="20"/>
                <w:color w:val="auto"/>
              </w:rPr>
            </w:pPr>
            <w:r>
              <w:rPr>
                <w:rFonts w:ascii="Arial" w:cs="Arial" w:eastAsia="Arial" w:hAnsi="Arial"/>
                <w:sz w:val="16"/>
                <w:szCs w:val="16"/>
                <w:color w:val="auto"/>
              </w:rPr>
              <w:t>7/31/2025</w:t>
            </w:r>
          </w:p>
        </w:tc>
        <w:tc>
          <w:tcPr>
            <w:tcW w:w="1740" w:type="dxa"/>
            <w:vAlign w:val="bottom"/>
            <w:tcBorders>
              <w:bottom w:val="single" w:sz="8" w:color="BFBFBF"/>
            </w:tcBorders>
          </w:tcPr>
          <w:p>
            <w:pPr>
              <w:ind w:left="180"/>
              <w:spacing w:after="0"/>
              <w:rPr>
                <w:sz w:val="20"/>
                <w:szCs w:val="20"/>
                <w:color w:val="auto"/>
              </w:rPr>
            </w:pPr>
            <w:r>
              <w:rPr>
                <w:rFonts w:ascii="Arial" w:cs="Arial" w:eastAsia="Arial" w:hAnsi="Arial"/>
                <w:sz w:val="16"/>
                <w:szCs w:val="16"/>
                <w:color w:val="auto"/>
              </w:rPr>
              <w:t>Ceased Operations</w:t>
            </w:r>
          </w:p>
        </w:tc>
        <w:tc>
          <w:tcPr>
            <w:tcW w:w="0" w:type="dxa"/>
            <w:vAlign w:val="bottom"/>
          </w:tcPr>
          <w:p>
            <w:pPr>
              <w:spacing w:after="0"/>
              <w:rPr>
                <w:sz w:val="1"/>
                <w:szCs w:val="1"/>
                <w:color w:val="auto"/>
              </w:rPr>
            </w:pPr>
          </w:p>
        </w:tc>
      </w:tr>
      <w:tr>
        <w:trPr>
          <w:trHeight w:val="237"/>
        </w:trPr>
        <w:tc>
          <w:tcPr>
            <w:tcW w:w="136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CID002513</w:t>
            </w:r>
          </w:p>
        </w:tc>
        <w:tc>
          <w:tcPr>
            <w:tcW w:w="94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Tungsten</w:t>
            </w:r>
          </w:p>
        </w:tc>
        <w:tc>
          <w:tcPr>
            <w:tcW w:w="1840" w:type="dxa"/>
            <w:vAlign w:val="bottom"/>
            <w:tcBorders>
              <w:bottom w:val="single" w:sz="8" w:color="BFBFBF"/>
            </w:tcBorders>
          </w:tcPr>
          <w:p>
            <w:pPr>
              <w:ind w:left="140"/>
              <w:spacing w:after="0"/>
              <w:rPr>
                <w:sz w:val="20"/>
                <w:szCs w:val="20"/>
                <w:color w:val="auto"/>
              </w:rPr>
            </w:pPr>
            <w:r>
              <w:rPr>
                <w:rFonts w:ascii="Arial" w:cs="Arial" w:eastAsia="Arial" w:hAnsi="Arial"/>
                <w:sz w:val="16"/>
                <w:szCs w:val="16"/>
                <w:color w:val="auto"/>
              </w:rPr>
              <w:t>Hunan Shizhuyuan</w:t>
            </w:r>
          </w:p>
        </w:tc>
        <w:tc>
          <w:tcPr>
            <w:tcW w:w="1560" w:type="dxa"/>
            <w:vAlign w:val="bottom"/>
            <w:tcBorders>
              <w:bottom w:val="single" w:sz="8" w:color="BFBFBF"/>
            </w:tcBorders>
          </w:tcPr>
          <w:p>
            <w:pPr>
              <w:ind w:left="80"/>
              <w:spacing w:after="0"/>
              <w:rPr>
                <w:sz w:val="20"/>
                <w:szCs w:val="20"/>
                <w:color w:val="auto"/>
              </w:rPr>
            </w:pPr>
            <w:r>
              <w:rPr>
                <w:rFonts w:ascii="Arial" w:cs="Arial" w:eastAsia="Arial" w:hAnsi="Arial"/>
                <w:sz w:val="16"/>
                <w:szCs w:val="16"/>
                <w:color w:val="auto"/>
              </w:rPr>
              <w:t>CHINA</w:t>
            </w:r>
          </w:p>
        </w:tc>
        <w:tc>
          <w:tcPr>
            <w:tcW w:w="1660" w:type="dxa"/>
            <w:vAlign w:val="bottom"/>
            <w:tcBorders>
              <w:bottom w:val="single" w:sz="8" w:color="BFBFBF"/>
            </w:tcBorders>
          </w:tcPr>
          <w:p>
            <w:pPr>
              <w:ind w:left="220"/>
              <w:spacing w:after="0"/>
              <w:rPr>
                <w:sz w:val="20"/>
                <w:szCs w:val="20"/>
                <w:color w:val="auto"/>
              </w:rPr>
            </w:pPr>
            <w:r>
              <w:rPr>
                <w:rFonts w:ascii="Arial" w:cs="Arial" w:eastAsia="Arial" w:hAnsi="Arial"/>
                <w:sz w:val="16"/>
                <w:szCs w:val="16"/>
                <w:color w:val="auto"/>
              </w:rPr>
              <w:t>8/29/2025</w:t>
            </w:r>
          </w:p>
        </w:tc>
        <w:tc>
          <w:tcPr>
            <w:tcW w:w="1740" w:type="dxa"/>
            <w:vAlign w:val="bottom"/>
            <w:tcBorders>
              <w:bottom w:val="single" w:sz="8" w:color="BFBFBF"/>
            </w:tcBorders>
          </w:tcPr>
          <w:p>
            <w:pPr>
              <w:ind w:left="180"/>
              <w:spacing w:after="0"/>
              <w:rPr>
                <w:sz w:val="20"/>
                <w:szCs w:val="20"/>
                <w:color w:val="auto"/>
              </w:rPr>
            </w:pPr>
            <w:r>
              <w:rPr>
                <w:rFonts w:ascii="Arial" w:cs="Arial" w:eastAsia="Arial" w:hAnsi="Arial"/>
                <w:sz w:val="16"/>
                <w:szCs w:val="16"/>
                <w:color w:val="auto"/>
              </w:rPr>
              <w:t>Non Conformant</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Nonferrous Metals</w:t>
            </w:r>
          </w:p>
        </w:tc>
        <w:tc>
          <w:tcPr>
            <w:tcW w:w="1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60" w:type="dxa"/>
            <w:vAlign w:val="bottom"/>
            <w:tcBorders>
              <w:bottom w:val="single" w:sz="8" w:color="BFBFBF"/>
            </w:tcBorders>
          </w:tcPr>
          <w:p>
            <w:pPr>
              <w:spacing w:after="0"/>
              <w:rPr>
                <w:sz w:val="19"/>
                <w:szCs w:val="19"/>
                <w:color w:val="auto"/>
              </w:rPr>
            </w:pPr>
          </w:p>
        </w:tc>
        <w:tc>
          <w:tcPr>
            <w:tcW w:w="940" w:type="dxa"/>
            <w:vAlign w:val="bottom"/>
            <w:tcBorders>
              <w:bottom w:val="single" w:sz="8" w:color="BFBFBF"/>
            </w:tcBorders>
          </w:tcPr>
          <w:p>
            <w:pPr>
              <w:spacing w:after="0"/>
              <w:rPr>
                <w:sz w:val="19"/>
                <w:szCs w:val="19"/>
                <w:color w:val="auto"/>
              </w:rPr>
            </w:pPr>
          </w:p>
        </w:tc>
        <w:tc>
          <w:tcPr>
            <w:tcW w:w="1840" w:type="dxa"/>
            <w:vAlign w:val="bottom"/>
            <w:tcBorders>
              <w:bottom w:val="single" w:sz="8" w:color="BFBFBF"/>
            </w:tcBorders>
          </w:tcPr>
          <w:p>
            <w:pPr>
              <w:ind w:left="140"/>
              <w:spacing w:after="0"/>
              <w:rPr>
                <w:sz w:val="20"/>
                <w:szCs w:val="20"/>
                <w:color w:val="auto"/>
              </w:rPr>
            </w:pPr>
            <w:r>
              <w:rPr>
                <w:rFonts w:ascii="Arial" w:cs="Arial" w:eastAsia="Arial" w:hAnsi="Arial"/>
                <w:sz w:val="16"/>
                <w:szCs w:val="16"/>
                <w:color w:val="auto"/>
              </w:rPr>
              <w:t>Co., Ltd. Chenzhou</w:t>
            </w:r>
          </w:p>
        </w:tc>
        <w:tc>
          <w:tcPr>
            <w:tcW w:w="1560" w:type="dxa"/>
            <w:vAlign w:val="bottom"/>
            <w:tcBorders>
              <w:bottom w:val="single" w:sz="8" w:color="BFBFBF"/>
            </w:tcBorders>
          </w:tcPr>
          <w:p>
            <w:pPr>
              <w:spacing w:after="0"/>
              <w:rPr>
                <w:sz w:val="19"/>
                <w:szCs w:val="19"/>
                <w:color w:val="auto"/>
              </w:rPr>
            </w:pPr>
          </w:p>
        </w:tc>
        <w:tc>
          <w:tcPr>
            <w:tcW w:w="166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Borders>
              <w:bottom w:val="single" w:sz="8" w:color="BFBFBF"/>
            </w:tcBorders>
          </w:tcPr>
          <w:p>
            <w:pPr>
              <w:spacing w:after="0"/>
              <w:rPr>
                <w:sz w:val="18"/>
                <w:szCs w:val="18"/>
                <w:color w:val="auto"/>
              </w:rPr>
            </w:pPr>
          </w:p>
        </w:tc>
        <w:tc>
          <w:tcPr>
            <w:tcW w:w="940" w:type="dxa"/>
            <w:vAlign w:val="bottom"/>
            <w:tcBorders>
              <w:bottom w:val="single" w:sz="8" w:color="BFBFBF"/>
            </w:tcBorders>
          </w:tcPr>
          <w:p>
            <w:pPr>
              <w:spacing w:after="0"/>
              <w:rPr>
                <w:sz w:val="18"/>
                <w:szCs w:val="18"/>
                <w:color w:val="auto"/>
              </w:rPr>
            </w:pPr>
          </w:p>
        </w:tc>
        <w:tc>
          <w:tcPr>
            <w:tcW w:w="1840" w:type="dxa"/>
            <w:vAlign w:val="bottom"/>
            <w:tcBorders>
              <w:bottom w:val="single" w:sz="8" w:color="BFBFBF"/>
            </w:tcBorders>
          </w:tcPr>
          <w:p>
            <w:pPr>
              <w:ind w:left="140"/>
              <w:spacing w:after="0"/>
              <w:rPr>
                <w:sz w:val="20"/>
                <w:szCs w:val="20"/>
                <w:color w:val="auto"/>
              </w:rPr>
            </w:pPr>
            <w:r>
              <w:rPr>
                <w:rFonts w:ascii="Arial" w:cs="Arial" w:eastAsia="Arial" w:hAnsi="Arial"/>
                <w:sz w:val="16"/>
                <w:szCs w:val="16"/>
                <w:color w:val="auto"/>
              </w:rPr>
              <w:t>Tungsten Products</w:t>
            </w:r>
          </w:p>
        </w:tc>
        <w:tc>
          <w:tcPr>
            <w:tcW w:w="1560" w:type="dxa"/>
            <w:vAlign w:val="bottom"/>
            <w:tcBorders>
              <w:bottom w:val="single" w:sz="8" w:color="BFBFBF"/>
            </w:tcBorders>
          </w:tcPr>
          <w:p>
            <w:pPr>
              <w:spacing w:after="0"/>
              <w:rPr>
                <w:sz w:val="18"/>
                <w:szCs w:val="18"/>
                <w:color w:val="auto"/>
              </w:rPr>
            </w:pPr>
          </w:p>
        </w:tc>
        <w:tc>
          <w:tcPr>
            <w:tcW w:w="1660" w:type="dxa"/>
            <w:vAlign w:val="bottom"/>
            <w:tcBorders>
              <w:bottom w:val="single" w:sz="8" w:color="BFBFBF"/>
            </w:tcBorders>
          </w:tcPr>
          <w:p>
            <w:pPr>
              <w:spacing w:after="0"/>
              <w:rPr>
                <w:sz w:val="18"/>
                <w:szCs w:val="18"/>
                <w:color w:val="auto"/>
              </w:rPr>
            </w:pPr>
          </w:p>
        </w:tc>
        <w:tc>
          <w:tcPr>
            <w:tcW w:w="1740" w:type="dxa"/>
            <w:vAlign w:val="bottom"/>
            <w:tcBorders>
              <w:bottom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Branch</w:t>
            </w: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20"/>
          <w:szCs w:val="20"/>
          <w:color w:val="002052"/>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50" w:type="dxa"/>
        <w:tblCellMar>
          <w:top w:w="0" w:type="dxa"/>
          <w:left w:w="0" w:type="dxa"/>
          <w:bottom w:w="0" w:type="dxa"/>
          <w:right w:w="0" w:type="dxa"/>
        </w:tblCellMar>
      </w:tblPr>
      <w:tr>
        <w:trPr>
          <w:trHeight w:val="229"/>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RMAP Smelter</w:t>
            </w:r>
          </w:p>
        </w:tc>
        <w:tc>
          <w:tcPr>
            <w:tcW w:w="960" w:type="dxa"/>
            <w:vAlign w:val="bottom"/>
            <w:tcBorders>
              <w:right w:val="single" w:sz="8" w:color="BFBFBF"/>
            </w:tcBorders>
            <w:shd w:val="clear" w:color="auto" w:fill="03234B"/>
          </w:tcPr>
          <w:p>
            <w:pPr>
              <w:ind w:left="80"/>
              <w:spacing w:after="0"/>
              <w:rPr>
                <w:sz w:val="20"/>
                <w:szCs w:val="20"/>
                <w:color w:val="auto"/>
              </w:rPr>
            </w:pPr>
            <w:r>
              <w:rPr>
                <w:rFonts w:ascii="Arial" w:cs="Arial" w:eastAsia="Arial" w:hAnsi="Arial"/>
                <w:sz w:val="16"/>
                <w:szCs w:val="16"/>
                <w:b w:val="1"/>
                <w:bCs w:val="1"/>
                <w:color w:val="FFFFFF"/>
              </w:rPr>
              <w:t>Metal</w:t>
            </w:r>
          </w:p>
        </w:tc>
        <w:tc>
          <w:tcPr>
            <w:tcW w:w="1800" w:type="dxa"/>
            <w:vAlign w:val="bottom"/>
            <w:tcBorders>
              <w:right w:val="single" w:sz="8" w:color="BFBFBF"/>
            </w:tcBorders>
            <w:shd w:val="clear" w:color="auto" w:fill="03234B"/>
          </w:tcPr>
          <w:p>
            <w:pPr>
              <w:ind w:left="80"/>
              <w:spacing w:after="0"/>
              <w:rPr>
                <w:sz w:val="20"/>
                <w:szCs w:val="20"/>
                <w:color w:val="auto"/>
              </w:rPr>
            </w:pPr>
            <w:r>
              <w:rPr>
                <w:rFonts w:ascii="Arial" w:cs="Arial" w:eastAsia="Arial" w:hAnsi="Arial"/>
                <w:sz w:val="16"/>
                <w:szCs w:val="16"/>
                <w:b w:val="1"/>
                <w:bCs w:val="1"/>
                <w:color w:val="FFFFFF"/>
              </w:rPr>
              <w:t>Smelter Name</w:t>
            </w:r>
          </w:p>
        </w:tc>
        <w:tc>
          <w:tcPr>
            <w:tcW w:w="170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Smelter Country</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Month of</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RMI conformity</w:t>
            </w:r>
          </w:p>
        </w:tc>
      </w:tr>
      <w:tr>
        <w:trPr>
          <w:trHeight w:val="216"/>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Identification</w:t>
            </w:r>
          </w:p>
        </w:tc>
        <w:tc>
          <w:tcPr>
            <w:tcW w:w="960" w:type="dxa"/>
            <w:vAlign w:val="bottom"/>
            <w:tcBorders>
              <w:right w:val="single" w:sz="8" w:color="BFBFBF"/>
            </w:tcBorders>
            <w:shd w:val="clear" w:color="auto" w:fill="03234B"/>
          </w:tcPr>
          <w:p>
            <w:pPr>
              <w:spacing w:after="0"/>
              <w:rPr>
                <w:sz w:val="18"/>
                <w:szCs w:val="18"/>
                <w:color w:val="auto"/>
              </w:rPr>
            </w:pPr>
          </w:p>
        </w:tc>
        <w:tc>
          <w:tcPr>
            <w:tcW w:w="1800" w:type="dxa"/>
            <w:vAlign w:val="bottom"/>
            <w:tcBorders>
              <w:right w:val="single" w:sz="8" w:color="BFBFBF"/>
            </w:tcBorders>
            <w:shd w:val="clear" w:color="auto" w:fill="03234B"/>
          </w:tcPr>
          <w:p>
            <w:pPr>
              <w:spacing w:after="0"/>
              <w:rPr>
                <w:sz w:val="18"/>
                <w:szCs w:val="18"/>
                <w:color w:val="auto"/>
              </w:rPr>
            </w:pPr>
          </w:p>
        </w:tc>
        <w:tc>
          <w:tcPr>
            <w:tcW w:w="1700" w:type="dxa"/>
            <w:vAlign w:val="bottom"/>
            <w:tcBorders>
              <w:right w:val="single" w:sz="8" w:color="BFBFBF"/>
            </w:tcBorders>
            <w:shd w:val="clear" w:color="auto" w:fill="03234B"/>
          </w:tcPr>
          <w:p>
            <w:pPr>
              <w:spacing w:after="0"/>
              <w:rPr>
                <w:sz w:val="18"/>
                <w:szCs w:val="18"/>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communication</w:t>
            </w: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status</w:t>
            </w:r>
          </w:p>
        </w:tc>
      </w:tr>
      <w:tr>
        <w:trPr>
          <w:trHeight w:val="216"/>
        </w:trPr>
        <w:tc>
          <w:tcPr>
            <w:tcW w:w="1400" w:type="dxa"/>
            <w:vAlign w:val="bottom"/>
            <w:tcBorders>
              <w:left w:val="single" w:sz="8" w:color="BFBFBF"/>
              <w:right w:val="single" w:sz="8" w:color="BFBFBF"/>
            </w:tcBorders>
            <w:shd w:val="clear" w:color="auto" w:fill="03234B"/>
          </w:tcPr>
          <w:p>
            <w:pPr>
              <w:ind w:left="120"/>
              <w:spacing w:after="0"/>
              <w:rPr>
                <w:sz w:val="20"/>
                <w:szCs w:val="20"/>
                <w:color w:val="auto"/>
              </w:rPr>
            </w:pPr>
            <w:r>
              <w:rPr>
                <w:rFonts w:ascii="Arial" w:cs="Arial" w:eastAsia="Arial" w:hAnsi="Arial"/>
                <w:sz w:val="16"/>
                <w:szCs w:val="16"/>
                <w:b w:val="1"/>
                <w:bCs w:val="1"/>
                <w:color w:val="FFFFFF"/>
              </w:rPr>
              <w:t>Number</w:t>
            </w:r>
          </w:p>
        </w:tc>
        <w:tc>
          <w:tcPr>
            <w:tcW w:w="960" w:type="dxa"/>
            <w:vAlign w:val="bottom"/>
            <w:tcBorders>
              <w:right w:val="single" w:sz="8" w:color="BFBFBF"/>
            </w:tcBorders>
            <w:shd w:val="clear" w:color="auto" w:fill="03234B"/>
          </w:tcPr>
          <w:p>
            <w:pPr>
              <w:spacing w:after="0"/>
              <w:rPr>
                <w:sz w:val="18"/>
                <w:szCs w:val="18"/>
                <w:color w:val="auto"/>
              </w:rPr>
            </w:pPr>
          </w:p>
        </w:tc>
        <w:tc>
          <w:tcPr>
            <w:tcW w:w="1800" w:type="dxa"/>
            <w:vAlign w:val="bottom"/>
            <w:tcBorders>
              <w:right w:val="single" w:sz="8" w:color="BFBFBF"/>
            </w:tcBorders>
            <w:shd w:val="clear" w:color="auto" w:fill="03234B"/>
          </w:tcPr>
          <w:p>
            <w:pPr>
              <w:spacing w:after="0"/>
              <w:rPr>
                <w:sz w:val="18"/>
                <w:szCs w:val="18"/>
                <w:color w:val="auto"/>
              </w:rPr>
            </w:pPr>
          </w:p>
        </w:tc>
        <w:tc>
          <w:tcPr>
            <w:tcW w:w="1700" w:type="dxa"/>
            <w:vAlign w:val="bottom"/>
            <w:tcBorders>
              <w:right w:val="single" w:sz="8" w:color="BFBFBF"/>
            </w:tcBorders>
            <w:shd w:val="clear" w:color="auto" w:fill="03234B"/>
          </w:tcPr>
          <w:p>
            <w:pPr>
              <w:spacing w:after="0"/>
              <w:rPr>
                <w:sz w:val="18"/>
                <w:szCs w:val="18"/>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Effective date</w:t>
            </w:r>
          </w:p>
        </w:tc>
        <w:tc>
          <w:tcPr>
            <w:tcW w:w="1620" w:type="dxa"/>
            <w:vAlign w:val="bottom"/>
            <w:tcBorders>
              <w:right w:val="single" w:sz="8" w:color="BFBFBF"/>
            </w:tcBorders>
            <w:shd w:val="clear" w:color="auto" w:fill="03234B"/>
          </w:tcPr>
          <w:p>
            <w:pPr>
              <w:spacing w:after="0"/>
              <w:rPr>
                <w:sz w:val="18"/>
                <w:szCs w:val="18"/>
                <w:color w:val="auto"/>
              </w:rPr>
            </w:pPr>
          </w:p>
        </w:tc>
      </w:tr>
      <w:tr>
        <w:trPr>
          <w:trHeight w:val="223"/>
        </w:trPr>
        <w:tc>
          <w:tcPr>
            <w:tcW w:w="1400" w:type="dxa"/>
            <w:vAlign w:val="bottom"/>
            <w:tcBorders>
              <w:left w:val="single" w:sz="8" w:color="BFBFBF"/>
              <w:right w:val="single" w:sz="8" w:color="BFBFBF"/>
            </w:tcBorders>
            <w:shd w:val="clear" w:color="auto" w:fill="03234B"/>
          </w:tcPr>
          <w:p>
            <w:pPr>
              <w:spacing w:after="0"/>
              <w:rPr>
                <w:sz w:val="19"/>
                <w:szCs w:val="19"/>
                <w:color w:val="auto"/>
              </w:rPr>
            </w:pPr>
          </w:p>
        </w:tc>
        <w:tc>
          <w:tcPr>
            <w:tcW w:w="960" w:type="dxa"/>
            <w:vAlign w:val="bottom"/>
            <w:tcBorders>
              <w:right w:val="single" w:sz="8" w:color="BFBFBF"/>
            </w:tcBorders>
            <w:shd w:val="clear" w:color="auto" w:fill="03234B"/>
          </w:tcPr>
          <w:p>
            <w:pPr>
              <w:spacing w:after="0"/>
              <w:rPr>
                <w:sz w:val="19"/>
                <w:szCs w:val="19"/>
                <w:color w:val="auto"/>
              </w:rPr>
            </w:pPr>
          </w:p>
        </w:tc>
        <w:tc>
          <w:tcPr>
            <w:tcW w:w="1800" w:type="dxa"/>
            <w:vAlign w:val="bottom"/>
            <w:tcBorders>
              <w:right w:val="single" w:sz="8" w:color="BFBFBF"/>
            </w:tcBorders>
            <w:shd w:val="clear" w:color="auto" w:fill="03234B"/>
          </w:tcPr>
          <w:p>
            <w:pPr>
              <w:spacing w:after="0"/>
              <w:rPr>
                <w:sz w:val="19"/>
                <w:szCs w:val="19"/>
                <w:color w:val="auto"/>
              </w:rPr>
            </w:pPr>
          </w:p>
        </w:tc>
        <w:tc>
          <w:tcPr>
            <w:tcW w:w="1700" w:type="dxa"/>
            <w:vAlign w:val="bottom"/>
            <w:tcBorders>
              <w:right w:val="single" w:sz="8" w:color="BFBFBF"/>
            </w:tcBorders>
            <w:shd w:val="clear" w:color="auto" w:fill="03234B"/>
          </w:tcPr>
          <w:p>
            <w:pPr>
              <w:spacing w:after="0"/>
              <w:rPr>
                <w:sz w:val="19"/>
                <w:szCs w:val="19"/>
                <w:color w:val="auto"/>
              </w:rPr>
            </w:pPr>
          </w:p>
        </w:tc>
        <w:tc>
          <w:tcPr>
            <w:tcW w:w="1620" w:type="dxa"/>
            <w:vAlign w:val="bottom"/>
            <w:tcBorders>
              <w:right w:val="single" w:sz="8" w:color="BFBFBF"/>
            </w:tcBorders>
            <w:shd w:val="clear" w:color="auto" w:fill="03234B"/>
          </w:tcPr>
          <w:p>
            <w:pPr>
              <w:ind w:left="60"/>
              <w:spacing w:after="0"/>
              <w:rPr>
                <w:sz w:val="20"/>
                <w:szCs w:val="20"/>
                <w:color w:val="auto"/>
              </w:rPr>
            </w:pPr>
            <w:r>
              <w:rPr>
                <w:rFonts w:ascii="Arial" w:cs="Arial" w:eastAsia="Arial" w:hAnsi="Arial"/>
                <w:sz w:val="16"/>
                <w:szCs w:val="16"/>
                <w:b w:val="1"/>
                <w:bCs w:val="1"/>
                <w:color w:val="FFFFFF"/>
              </w:rPr>
              <w:t>reported by RMI</w:t>
            </w:r>
          </w:p>
        </w:tc>
        <w:tc>
          <w:tcPr>
            <w:tcW w:w="1620" w:type="dxa"/>
            <w:vAlign w:val="bottom"/>
            <w:tcBorders>
              <w:right w:val="single" w:sz="8" w:color="BFBFBF"/>
            </w:tcBorders>
            <w:shd w:val="clear" w:color="auto" w:fill="03234B"/>
          </w:tcPr>
          <w:p>
            <w:pPr>
              <w:spacing w:after="0"/>
              <w:rPr>
                <w:sz w:val="19"/>
                <w:szCs w:val="19"/>
                <w:color w:val="auto"/>
              </w:rPr>
            </w:pPr>
          </w:p>
        </w:tc>
      </w:tr>
      <w:tr>
        <w:trPr>
          <w:trHeight w:val="102"/>
        </w:trPr>
        <w:tc>
          <w:tcPr>
            <w:tcW w:w="1400" w:type="dxa"/>
            <w:vAlign w:val="bottom"/>
            <w:tcBorders>
              <w:left w:val="single" w:sz="8" w:color="BFBFBF"/>
              <w:right w:val="single" w:sz="8" w:color="BFBFBF"/>
            </w:tcBorders>
            <w:shd w:val="clear" w:color="auto" w:fill="03234B"/>
          </w:tcPr>
          <w:p>
            <w:pPr>
              <w:spacing w:after="0"/>
              <w:rPr>
                <w:sz w:val="8"/>
                <w:szCs w:val="8"/>
                <w:color w:val="auto"/>
              </w:rPr>
            </w:pPr>
          </w:p>
        </w:tc>
        <w:tc>
          <w:tcPr>
            <w:tcW w:w="960" w:type="dxa"/>
            <w:vAlign w:val="bottom"/>
            <w:tcBorders>
              <w:right w:val="single" w:sz="8" w:color="BFBFBF"/>
            </w:tcBorders>
            <w:shd w:val="clear" w:color="auto" w:fill="03234B"/>
          </w:tcPr>
          <w:p>
            <w:pPr>
              <w:spacing w:after="0"/>
              <w:rPr>
                <w:sz w:val="8"/>
                <w:szCs w:val="8"/>
                <w:color w:val="auto"/>
              </w:rPr>
            </w:pPr>
          </w:p>
        </w:tc>
        <w:tc>
          <w:tcPr>
            <w:tcW w:w="1800" w:type="dxa"/>
            <w:vAlign w:val="bottom"/>
            <w:tcBorders>
              <w:right w:val="single" w:sz="8" w:color="BFBFBF"/>
            </w:tcBorders>
            <w:shd w:val="clear" w:color="auto" w:fill="03234B"/>
          </w:tcPr>
          <w:p>
            <w:pPr>
              <w:spacing w:after="0"/>
              <w:rPr>
                <w:sz w:val="8"/>
                <w:szCs w:val="8"/>
                <w:color w:val="auto"/>
              </w:rPr>
            </w:pPr>
          </w:p>
        </w:tc>
        <w:tc>
          <w:tcPr>
            <w:tcW w:w="1700" w:type="dxa"/>
            <w:vAlign w:val="bottom"/>
            <w:tcBorders>
              <w:right w:val="single" w:sz="8" w:color="BFBFBF"/>
            </w:tcBorders>
            <w:shd w:val="clear" w:color="auto" w:fill="03234B"/>
          </w:tcPr>
          <w:p>
            <w:pPr>
              <w:spacing w:after="0"/>
              <w:rPr>
                <w:sz w:val="8"/>
                <w:szCs w:val="8"/>
                <w:color w:val="auto"/>
              </w:rPr>
            </w:pPr>
          </w:p>
        </w:tc>
        <w:tc>
          <w:tcPr>
            <w:tcW w:w="1620" w:type="dxa"/>
            <w:vAlign w:val="bottom"/>
            <w:tcBorders>
              <w:right w:val="single" w:sz="8" w:color="BFBFBF"/>
            </w:tcBorders>
            <w:shd w:val="clear" w:color="auto" w:fill="03234B"/>
          </w:tcPr>
          <w:p>
            <w:pPr>
              <w:spacing w:after="0"/>
              <w:rPr>
                <w:sz w:val="8"/>
                <w:szCs w:val="8"/>
                <w:color w:val="auto"/>
              </w:rPr>
            </w:pPr>
          </w:p>
        </w:tc>
        <w:tc>
          <w:tcPr>
            <w:tcW w:w="1620" w:type="dxa"/>
            <w:vAlign w:val="bottom"/>
            <w:tcBorders>
              <w:right w:val="single" w:sz="8" w:color="BFBFBF"/>
            </w:tcBorders>
            <w:shd w:val="clear" w:color="auto" w:fill="03234B"/>
          </w:tcPr>
          <w:p>
            <w:pPr>
              <w:spacing w:after="0"/>
              <w:rPr>
                <w:sz w:val="8"/>
                <w:szCs w:val="8"/>
                <w:color w:val="auto"/>
              </w:rPr>
            </w:pPr>
          </w:p>
        </w:tc>
      </w:tr>
      <w:tr>
        <w:trPr>
          <w:trHeight w:val="188"/>
        </w:trPr>
        <w:tc>
          <w:tcPr>
            <w:tcW w:w="140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16"/>
                <w:szCs w:val="16"/>
                <w:color w:val="auto"/>
              </w:rPr>
              <w:t>CID003409</w:t>
            </w:r>
          </w:p>
        </w:tc>
        <w:tc>
          <w:tcPr>
            <w:tcW w:w="96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Tin</w:t>
            </w:r>
          </w:p>
        </w:tc>
        <w:tc>
          <w:tcPr>
            <w:tcW w:w="180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Precious Minerals and</w:t>
            </w:r>
          </w:p>
        </w:tc>
        <w:tc>
          <w:tcPr>
            <w:tcW w:w="170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INDIA</w:t>
            </w:r>
          </w:p>
        </w:tc>
        <w:tc>
          <w:tcPr>
            <w:tcW w:w="162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2/28/2025</w:t>
            </w:r>
          </w:p>
        </w:tc>
        <w:tc>
          <w:tcPr>
            <w:tcW w:w="162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Non Conformant</w:t>
            </w:r>
          </w:p>
        </w:tc>
      </w:tr>
      <w:tr>
        <w:trPr>
          <w:trHeight w:val="215"/>
        </w:trPr>
        <w:tc>
          <w:tcPr>
            <w:tcW w:w="1400" w:type="dxa"/>
            <w:vAlign w:val="bottom"/>
            <w:tcBorders>
              <w:left w:val="single" w:sz="8" w:color="BFBFBF"/>
              <w:right w:val="single" w:sz="8" w:color="BFBFBF"/>
            </w:tcBorders>
          </w:tcPr>
          <w:p>
            <w:pPr>
              <w:spacing w:after="0"/>
              <w:rPr>
                <w:sz w:val="18"/>
                <w:szCs w:val="18"/>
                <w:color w:val="auto"/>
              </w:rPr>
            </w:pPr>
          </w:p>
        </w:tc>
        <w:tc>
          <w:tcPr>
            <w:tcW w:w="960" w:type="dxa"/>
            <w:vAlign w:val="bottom"/>
            <w:tcBorders>
              <w:right w:val="single" w:sz="8" w:color="BFBFBF"/>
            </w:tcBorders>
          </w:tcPr>
          <w:p>
            <w:pPr>
              <w:spacing w:after="0"/>
              <w:rPr>
                <w:sz w:val="18"/>
                <w:szCs w:val="18"/>
                <w:color w:val="auto"/>
              </w:rPr>
            </w:pPr>
          </w:p>
        </w:tc>
        <w:tc>
          <w:tcPr>
            <w:tcW w:w="180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Smelting Limited</w:t>
            </w:r>
          </w:p>
        </w:tc>
        <w:tc>
          <w:tcPr>
            <w:tcW w:w="1700" w:type="dxa"/>
            <w:vAlign w:val="bottom"/>
            <w:tcBorders>
              <w:right w:val="single" w:sz="8" w:color="BFBFBF"/>
            </w:tcBorders>
          </w:tcPr>
          <w:p>
            <w:pPr>
              <w:spacing w:after="0"/>
              <w:rPr>
                <w:sz w:val="18"/>
                <w:szCs w:val="18"/>
                <w:color w:val="auto"/>
              </w:rPr>
            </w:pPr>
          </w:p>
        </w:tc>
        <w:tc>
          <w:tcPr>
            <w:tcW w:w="1620" w:type="dxa"/>
            <w:vAlign w:val="bottom"/>
            <w:tcBorders>
              <w:right w:val="single" w:sz="8" w:color="BFBFBF"/>
            </w:tcBorders>
          </w:tcPr>
          <w:p>
            <w:pPr>
              <w:spacing w:after="0"/>
              <w:rPr>
                <w:sz w:val="18"/>
                <w:szCs w:val="18"/>
                <w:color w:val="auto"/>
              </w:rPr>
            </w:pPr>
          </w:p>
        </w:tc>
        <w:tc>
          <w:tcPr>
            <w:tcW w:w="1620" w:type="dxa"/>
            <w:vAlign w:val="bottom"/>
            <w:tcBorders>
              <w:right w:val="single" w:sz="8" w:color="BFBFBF"/>
            </w:tcBorders>
          </w:tcPr>
          <w:p>
            <w:pPr>
              <w:spacing w:after="0"/>
              <w:rPr>
                <w:sz w:val="18"/>
                <w:szCs w:val="18"/>
                <w:color w:val="auto"/>
              </w:rPr>
            </w:pPr>
          </w:p>
        </w:tc>
      </w:tr>
      <w:tr>
        <w:trPr>
          <w:trHeight w:val="29"/>
        </w:trPr>
        <w:tc>
          <w:tcPr>
            <w:tcW w:w="1400" w:type="dxa"/>
            <w:vAlign w:val="bottom"/>
            <w:tcBorders>
              <w:left w:val="single" w:sz="8" w:color="BFBFBF"/>
              <w:bottom w:val="single" w:sz="8" w:color="BFBFBF"/>
              <w:right w:val="single" w:sz="8" w:color="BFBFBF"/>
            </w:tcBorders>
          </w:tcPr>
          <w:p>
            <w:pPr>
              <w:spacing w:after="0"/>
              <w:rPr>
                <w:sz w:val="2"/>
                <w:szCs w:val="2"/>
                <w:color w:val="auto"/>
              </w:rPr>
            </w:pPr>
          </w:p>
        </w:tc>
        <w:tc>
          <w:tcPr>
            <w:tcW w:w="960" w:type="dxa"/>
            <w:vAlign w:val="bottom"/>
            <w:tcBorders>
              <w:bottom w:val="single" w:sz="8" w:color="BFBFBF"/>
              <w:right w:val="single" w:sz="8" w:color="BFBFBF"/>
            </w:tcBorders>
          </w:tcPr>
          <w:p>
            <w:pPr>
              <w:spacing w:after="0"/>
              <w:rPr>
                <w:sz w:val="2"/>
                <w:szCs w:val="2"/>
                <w:color w:val="auto"/>
              </w:rPr>
            </w:pPr>
          </w:p>
        </w:tc>
        <w:tc>
          <w:tcPr>
            <w:tcW w:w="1800" w:type="dxa"/>
            <w:vAlign w:val="bottom"/>
            <w:tcBorders>
              <w:bottom w:val="single" w:sz="8" w:color="BFBFBF"/>
              <w:right w:val="single" w:sz="8" w:color="BFBFBF"/>
            </w:tcBorders>
          </w:tcPr>
          <w:p>
            <w:pPr>
              <w:spacing w:after="0"/>
              <w:rPr>
                <w:sz w:val="2"/>
                <w:szCs w:val="2"/>
                <w:color w:val="auto"/>
              </w:rPr>
            </w:pPr>
          </w:p>
        </w:tc>
        <w:tc>
          <w:tcPr>
            <w:tcW w:w="170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r>
      <w:tr>
        <w:trPr>
          <w:trHeight w:val="182"/>
        </w:trPr>
        <w:tc>
          <w:tcPr>
            <w:tcW w:w="1400" w:type="dxa"/>
            <w:vAlign w:val="bottom"/>
            <w:tcBorders>
              <w:left w:val="single" w:sz="8" w:color="BFBFBF"/>
              <w:right w:val="single" w:sz="8" w:color="BFBFBF"/>
            </w:tcBorders>
          </w:tcPr>
          <w:p>
            <w:pPr>
              <w:ind w:left="120"/>
              <w:spacing w:after="0" w:line="182" w:lineRule="exact"/>
              <w:rPr>
                <w:sz w:val="20"/>
                <w:szCs w:val="20"/>
                <w:color w:val="auto"/>
              </w:rPr>
            </w:pPr>
            <w:r>
              <w:rPr>
                <w:rFonts w:ascii="Arial" w:cs="Arial" w:eastAsia="Arial" w:hAnsi="Arial"/>
                <w:sz w:val="16"/>
                <w:szCs w:val="16"/>
                <w:color w:val="auto"/>
              </w:rPr>
              <w:t>CID001419</w:t>
            </w:r>
          </w:p>
        </w:tc>
        <w:tc>
          <w:tcPr>
            <w:tcW w:w="960" w:type="dxa"/>
            <w:vAlign w:val="bottom"/>
            <w:tcBorders>
              <w:right w:val="single" w:sz="8" w:color="BFBFBF"/>
            </w:tcBorders>
          </w:tcPr>
          <w:p>
            <w:pPr>
              <w:ind w:left="80"/>
              <w:spacing w:after="0" w:line="182" w:lineRule="exact"/>
              <w:rPr>
                <w:sz w:val="20"/>
                <w:szCs w:val="20"/>
                <w:color w:val="auto"/>
              </w:rPr>
            </w:pPr>
            <w:r>
              <w:rPr>
                <w:rFonts w:ascii="Arial" w:cs="Arial" w:eastAsia="Arial" w:hAnsi="Arial"/>
                <w:sz w:val="16"/>
                <w:szCs w:val="16"/>
                <w:color w:val="auto"/>
              </w:rPr>
              <w:t>Tin</w:t>
            </w:r>
          </w:p>
        </w:tc>
        <w:tc>
          <w:tcPr>
            <w:tcW w:w="1800" w:type="dxa"/>
            <w:vAlign w:val="bottom"/>
            <w:tcBorders>
              <w:right w:val="single" w:sz="8" w:color="BFBFBF"/>
            </w:tcBorders>
          </w:tcPr>
          <w:p>
            <w:pPr>
              <w:ind w:left="80"/>
              <w:spacing w:after="0" w:line="182" w:lineRule="exact"/>
              <w:rPr>
                <w:sz w:val="20"/>
                <w:szCs w:val="20"/>
                <w:color w:val="auto"/>
              </w:rPr>
            </w:pPr>
            <w:r>
              <w:rPr>
                <w:rFonts w:ascii="Arial" w:cs="Arial" w:eastAsia="Arial" w:hAnsi="Arial"/>
                <w:sz w:val="16"/>
                <w:szCs w:val="16"/>
                <w:color w:val="auto"/>
              </w:rPr>
              <w:t>PT Bangka Tin</w:t>
            </w:r>
          </w:p>
        </w:tc>
        <w:tc>
          <w:tcPr>
            <w:tcW w:w="1700" w:type="dxa"/>
            <w:vAlign w:val="bottom"/>
            <w:tcBorders>
              <w:right w:val="single" w:sz="8" w:color="BFBFBF"/>
            </w:tcBorders>
          </w:tcPr>
          <w:p>
            <w:pPr>
              <w:ind w:left="60"/>
              <w:spacing w:after="0" w:line="182" w:lineRule="exact"/>
              <w:rPr>
                <w:sz w:val="20"/>
                <w:szCs w:val="20"/>
                <w:color w:val="auto"/>
              </w:rPr>
            </w:pPr>
            <w:r>
              <w:rPr>
                <w:rFonts w:ascii="Arial" w:cs="Arial" w:eastAsia="Arial" w:hAnsi="Arial"/>
                <w:sz w:val="16"/>
                <w:szCs w:val="16"/>
                <w:color w:val="auto"/>
              </w:rPr>
              <w:t>INDONESIA</w:t>
            </w:r>
          </w:p>
        </w:tc>
        <w:tc>
          <w:tcPr>
            <w:tcW w:w="1620" w:type="dxa"/>
            <w:vAlign w:val="bottom"/>
            <w:tcBorders>
              <w:right w:val="single" w:sz="8" w:color="BFBFBF"/>
            </w:tcBorders>
          </w:tcPr>
          <w:p>
            <w:pPr>
              <w:ind w:left="60"/>
              <w:spacing w:after="0" w:line="182" w:lineRule="exact"/>
              <w:rPr>
                <w:sz w:val="20"/>
                <w:szCs w:val="20"/>
                <w:color w:val="auto"/>
              </w:rPr>
            </w:pPr>
            <w:r>
              <w:rPr>
                <w:rFonts w:ascii="Arial" w:cs="Arial" w:eastAsia="Arial" w:hAnsi="Arial"/>
                <w:sz w:val="16"/>
                <w:szCs w:val="16"/>
                <w:color w:val="auto"/>
              </w:rPr>
              <w:t>7/31/2025</w:t>
            </w:r>
          </w:p>
        </w:tc>
        <w:tc>
          <w:tcPr>
            <w:tcW w:w="1620" w:type="dxa"/>
            <w:vAlign w:val="bottom"/>
            <w:tcBorders>
              <w:right w:val="single" w:sz="8" w:color="BFBFBF"/>
            </w:tcBorders>
          </w:tcPr>
          <w:p>
            <w:pPr>
              <w:ind w:left="60"/>
              <w:spacing w:after="0" w:line="182" w:lineRule="exact"/>
              <w:rPr>
                <w:sz w:val="20"/>
                <w:szCs w:val="20"/>
                <w:color w:val="auto"/>
              </w:rPr>
            </w:pPr>
            <w:r>
              <w:rPr>
                <w:rFonts w:ascii="Arial" w:cs="Arial" w:eastAsia="Arial" w:hAnsi="Arial"/>
                <w:sz w:val="16"/>
                <w:szCs w:val="16"/>
                <w:color w:val="auto"/>
              </w:rPr>
              <w:t>Ceased Operations</w:t>
            </w:r>
          </w:p>
        </w:tc>
      </w:tr>
      <w:tr>
        <w:trPr>
          <w:trHeight w:val="215"/>
        </w:trPr>
        <w:tc>
          <w:tcPr>
            <w:tcW w:w="1400" w:type="dxa"/>
            <w:vAlign w:val="bottom"/>
            <w:tcBorders>
              <w:left w:val="single" w:sz="8" w:color="BFBFBF"/>
              <w:right w:val="single" w:sz="8" w:color="BFBFBF"/>
            </w:tcBorders>
          </w:tcPr>
          <w:p>
            <w:pPr>
              <w:spacing w:after="0"/>
              <w:rPr>
                <w:sz w:val="18"/>
                <w:szCs w:val="18"/>
                <w:color w:val="auto"/>
              </w:rPr>
            </w:pPr>
          </w:p>
        </w:tc>
        <w:tc>
          <w:tcPr>
            <w:tcW w:w="960" w:type="dxa"/>
            <w:vAlign w:val="bottom"/>
            <w:tcBorders>
              <w:right w:val="single" w:sz="8" w:color="BFBFBF"/>
            </w:tcBorders>
          </w:tcPr>
          <w:p>
            <w:pPr>
              <w:spacing w:after="0"/>
              <w:rPr>
                <w:sz w:val="18"/>
                <w:szCs w:val="18"/>
                <w:color w:val="auto"/>
              </w:rPr>
            </w:pPr>
          </w:p>
        </w:tc>
        <w:tc>
          <w:tcPr>
            <w:tcW w:w="1800" w:type="dxa"/>
            <w:vAlign w:val="bottom"/>
            <w:tcBorders>
              <w:right w:val="single" w:sz="8" w:color="BFBFBF"/>
            </w:tcBorders>
          </w:tcPr>
          <w:p>
            <w:pPr>
              <w:ind w:left="80"/>
              <w:spacing w:after="0"/>
              <w:rPr>
                <w:sz w:val="20"/>
                <w:szCs w:val="20"/>
                <w:color w:val="auto"/>
              </w:rPr>
            </w:pPr>
            <w:r>
              <w:rPr>
                <w:rFonts w:ascii="Arial" w:cs="Arial" w:eastAsia="Arial" w:hAnsi="Arial"/>
                <w:sz w:val="16"/>
                <w:szCs w:val="16"/>
                <w:color w:val="auto"/>
              </w:rPr>
              <w:t>Industry</w:t>
            </w:r>
          </w:p>
        </w:tc>
        <w:tc>
          <w:tcPr>
            <w:tcW w:w="1700" w:type="dxa"/>
            <w:vAlign w:val="bottom"/>
            <w:tcBorders>
              <w:right w:val="single" w:sz="8" w:color="BFBFBF"/>
            </w:tcBorders>
          </w:tcPr>
          <w:p>
            <w:pPr>
              <w:spacing w:after="0"/>
              <w:rPr>
                <w:sz w:val="18"/>
                <w:szCs w:val="18"/>
                <w:color w:val="auto"/>
              </w:rPr>
            </w:pPr>
          </w:p>
        </w:tc>
        <w:tc>
          <w:tcPr>
            <w:tcW w:w="1620" w:type="dxa"/>
            <w:vAlign w:val="bottom"/>
            <w:tcBorders>
              <w:right w:val="single" w:sz="8" w:color="BFBFBF"/>
            </w:tcBorders>
          </w:tcPr>
          <w:p>
            <w:pPr>
              <w:spacing w:after="0"/>
              <w:rPr>
                <w:sz w:val="18"/>
                <w:szCs w:val="18"/>
                <w:color w:val="auto"/>
              </w:rPr>
            </w:pPr>
          </w:p>
        </w:tc>
        <w:tc>
          <w:tcPr>
            <w:tcW w:w="1620" w:type="dxa"/>
            <w:vAlign w:val="bottom"/>
            <w:tcBorders>
              <w:right w:val="single" w:sz="8" w:color="BFBFBF"/>
            </w:tcBorders>
          </w:tcPr>
          <w:p>
            <w:pPr>
              <w:spacing w:after="0"/>
              <w:rPr>
                <w:sz w:val="18"/>
                <w:szCs w:val="18"/>
                <w:color w:val="auto"/>
              </w:rPr>
            </w:pPr>
          </w:p>
        </w:tc>
      </w:tr>
      <w:tr>
        <w:trPr>
          <w:trHeight w:val="29"/>
        </w:trPr>
        <w:tc>
          <w:tcPr>
            <w:tcW w:w="1400" w:type="dxa"/>
            <w:vAlign w:val="bottom"/>
            <w:tcBorders>
              <w:left w:val="single" w:sz="8" w:color="BFBFBF"/>
              <w:bottom w:val="single" w:sz="8" w:color="BFBFBF"/>
              <w:right w:val="single" w:sz="8" w:color="BFBFBF"/>
            </w:tcBorders>
          </w:tcPr>
          <w:p>
            <w:pPr>
              <w:spacing w:after="0"/>
              <w:rPr>
                <w:sz w:val="2"/>
                <w:szCs w:val="2"/>
                <w:color w:val="auto"/>
              </w:rPr>
            </w:pPr>
          </w:p>
        </w:tc>
        <w:tc>
          <w:tcPr>
            <w:tcW w:w="960" w:type="dxa"/>
            <w:vAlign w:val="bottom"/>
            <w:tcBorders>
              <w:bottom w:val="single" w:sz="8" w:color="BFBFBF"/>
              <w:right w:val="single" w:sz="8" w:color="BFBFBF"/>
            </w:tcBorders>
          </w:tcPr>
          <w:p>
            <w:pPr>
              <w:spacing w:after="0"/>
              <w:rPr>
                <w:sz w:val="2"/>
                <w:szCs w:val="2"/>
                <w:color w:val="auto"/>
              </w:rPr>
            </w:pPr>
          </w:p>
        </w:tc>
        <w:tc>
          <w:tcPr>
            <w:tcW w:w="1800" w:type="dxa"/>
            <w:vAlign w:val="bottom"/>
            <w:tcBorders>
              <w:bottom w:val="single" w:sz="8" w:color="BFBFBF"/>
              <w:right w:val="single" w:sz="8" w:color="BFBFBF"/>
            </w:tcBorders>
          </w:tcPr>
          <w:p>
            <w:pPr>
              <w:spacing w:after="0"/>
              <w:rPr>
                <w:sz w:val="2"/>
                <w:szCs w:val="2"/>
                <w:color w:val="auto"/>
              </w:rPr>
            </w:pPr>
          </w:p>
        </w:tc>
        <w:tc>
          <w:tcPr>
            <w:tcW w:w="170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c>
          <w:tcPr>
            <w:tcW w:w="1620" w:type="dxa"/>
            <w:vAlign w:val="bottom"/>
            <w:tcBorders>
              <w:bottom w:val="single" w:sz="8" w:color="BFBFBF"/>
              <w:right w:val="single" w:sz="8" w:color="BFBFBF"/>
            </w:tcBorders>
          </w:tcPr>
          <w:p>
            <w:pPr>
              <w:spacing w:after="0"/>
              <w:rPr>
                <w:sz w:val="2"/>
                <w:szCs w:val="2"/>
                <w:color w:val="auto"/>
              </w:rPr>
            </w:pPr>
          </w:p>
        </w:tc>
      </w:tr>
    </w:tbl>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 Reporting</w:t>
      </w:r>
    </w:p>
    <w:p>
      <w:pPr>
        <w:spacing w:after="0" w:line="279" w:lineRule="exact"/>
        <w:rPr>
          <w:sz w:val="20"/>
          <w:szCs w:val="20"/>
          <w:color w:val="auto"/>
        </w:rPr>
      </w:pPr>
    </w:p>
    <w:p>
      <w:pPr>
        <w:ind w:left="440" w:right="1500"/>
        <w:spacing w:after="0" w:line="318" w:lineRule="auto"/>
        <w:rPr>
          <w:sz w:val="20"/>
          <w:szCs w:val="20"/>
          <w:color w:val="auto"/>
        </w:rPr>
      </w:pPr>
      <w:r>
        <w:rPr>
          <w:rFonts w:ascii="Arial" w:cs="Arial" w:eastAsia="Arial" w:hAnsi="Arial"/>
          <w:sz w:val="18"/>
          <w:szCs w:val="18"/>
          <w:color w:val="auto"/>
        </w:rPr>
        <w:t>We report on our responsible minerals program and performance through different channels, as highlighted in the below table:</w:t>
      </w:r>
    </w:p>
    <w:p>
      <w:pPr>
        <w:sectPr>
          <w:pgSz w:w="11900" w:h="16917" w:orient="portrait"/>
          <w:cols w:equalWidth="0" w:num="1">
            <w:col w:w="9540"/>
          </w:cols>
          <w:pgMar w:left="1440" w:top="120"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st.com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Inspectie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Leefomgeving 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Transport –</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Inspection living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environment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transportation</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494" w:lineRule="exact"/>
        <w:rPr>
          <w:sz w:val="20"/>
          <w:szCs w:val="20"/>
          <w:color w:val="auto"/>
        </w:rPr>
      </w:pPr>
    </w:p>
    <w:p>
      <w:pPr>
        <w:sectPr>
          <w:pgSz w:w="11900" w:h="16917" w:orient="portrait"/>
          <w:cols w:equalWidth="0" w:num="5">
            <w:col w:w="1000" w:space="720"/>
            <w:col w:w="1400" w:space="500"/>
            <w:col w:w="1800" w:space="720"/>
            <w:col w:w="120" w:space="720"/>
            <w:col w:w="2560"/>
          </w:cols>
          <w:pgMar w:left="1440" w:top="120" w:right="919" w:bottom="0" w:gutter="0" w:footer="0" w:header="0"/>
          <w:type w:val="continuous"/>
        </w:sectPr>
      </w:pPr>
    </w:p>
    <w:p>
      <w:pPr>
        <w:ind w:left="520"/>
        <w:spacing w:after="0"/>
        <w:rPr>
          <w:sz w:val="20"/>
          <w:szCs w:val="20"/>
          <w:color w:val="auto"/>
        </w:rPr>
      </w:pPr>
      <w:r>
        <w:rPr>
          <w:rFonts w:ascii="Arial" w:cs="Arial" w:eastAsia="Arial" w:hAnsi="Arial"/>
          <w:sz w:val="17"/>
          <w:szCs w:val="17"/>
          <w:color w:val="auto"/>
        </w:rPr>
        <w:t>On demand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ectPr>
          <w:pgSz w:w="11900" w:h="16917" w:orient="portrait"/>
          <w:cols w:equalWidth="0" w:num="3">
            <w:col w:w="3960" w:space="720"/>
            <w:col w:w="100" w:space="640"/>
            <w:col w:w="4120"/>
          </w:cols>
          <w:pgMar w:left="1440" w:top="120" w:right="919" w:bottom="0" w:gutter="0" w:footer="0" w:header="0"/>
          <w:type w:val="continuous"/>
        </w:sectPr>
      </w:pPr>
    </w:p>
    <w:bookmarkStart w:id="20" w:name="page21"/>
    <w:bookmarkEnd w:id="20"/>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450" w:type="dxa"/>
        <w:tblCellMar>
          <w:top w:w="0" w:type="dxa"/>
          <w:left w:w="0" w:type="dxa"/>
          <w:bottom w:w="0" w:type="dxa"/>
          <w:right w:w="0" w:type="dxa"/>
        </w:tblCellMar>
      </w:tblPr>
      <w:tr>
        <w:trPr>
          <w:trHeight w:val="251"/>
        </w:trPr>
        <w:tc>
          <w:tcPr>
            <w:tcW w:w="1260" w:type="dxa"/>
            <w:vAlign w:val="bottom"/>
            <w:tcBorders>
              <w:top w:val="single" w:sz="8" w:color="auto"/>
              <w:left w:val="single" w:sz="8" w:color="auto"/>
              <w:right w:val="single" w:sz="8" w:color="auto"/>
            </w:tcBorders>
            <w:shd w:val="clear" w:color="auto" w:fill="002060"/>
          </w:tcPr>
          <w:p>
            <w:pPr>
              <w:ind w:left="120"/>
              <w:spacing w:after="0"/>
              <w:rPr>
                <w:sz w:val="20"/>
                <w:szCs w:val="20"/>
                <w:color w:val="auto"/>
              </w:rPr>
            </w:pPr>
            <w:r>
              <w:rPr>
                <w:rFonts w:ascii="Arial" w:cs="Arial" w:eastAsia="Arial" w:hAnsi="Arial"/>
                <w:sz w:val="18"/>
                <w:szCs w:val="18"/>
                <w:b w:val="1"/>
                <w:bCs w:val="1"/>
                <w:color w:val="FFFFFF"/>
              </w:rPr>
              <w:t>Availability</w:t>
            </w:r>
          </w:p>
        </w:tc>
        <w:tc>
          <w:tcPr>
            <w:tcW w:w="1860" w:type="dxa"/>
            <w:vAlign w:val="bottom"/>
            <w:tcBorders>
              <w:top w:val="single" w:sz="8" w:color="auto"/>
              <w:right w:val="single" w:sz="8" w:color="auto"/>
            </w:tcBorders>
            <w:shd w:val="clear" w:color="auto" w:fill="002060"/>
          </w:tcPr>
          <w:p>
            <w:pPr>
              <w:spacing w:after="0"/>
              <w:rPr>
                <w:sz w:val="21"/>
                <w:szCs w:val="21"/>
                <w:color w:val="auto"/>
              </w:rPr>
            </w:pPr>
          </w:p>
        </w:tc>
        <w:tc>
          <w:tcPr>
            <w:tcW w:w="1040" w:type="dxa"/>
            <w:vAlign w:val="bottom"/>
            <w:tcBorders>
              <w:top w:val="single" w:sz="8" w:color="auto"/>
              <w:right w:val="single" w:sz="8" w:color="auto"/>
            </w:tcBorders>
            <w:shd w:val="clear" w:color="auto" w:fill="002060"/>
          </w:tcPr>
          <w:p>
            <w:pPr>
              <w:ind w:left="60"/>
              <w:spacing w:after="0"/>
              <w:rPr>
                <w:sz w:val="20"/>
                <w:szCs w:val="20"/>
                <w:color w:val="auto"/>
              </w:rPr>
            </w:pPr>
            <w:r>
              <w:rPr>
                <w:rFonts w:ascii="Arial" w:cs="Arial" w:eastAsia="Arial" w:hAnsi="Arial"/>
                <w:sz w:val="18"/>
                <w:szCs w:val="18"/>
                <w:b w:val="1"/>
                <w:bCs w:val="1"/>
                <w:color w:val="FFFFFF"/>
              </w:rPr>
              <w:t>Policy</w:t>
            </w:r>
          </w:p>
        </w:tc>
        <w:tc>
          <w:tcPr>
            <w:tcW w:w="740" w:type="dxa"/>
            <w:vAlign w:val="bottom"/>
            <w:tcBorders>
              <w:top w:val="single" w:sz="8" w:color="auto"/>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CMRT</w:t>
            </w:r>
          </w:p>
        </w:tc>
        <w:tc>
          <w:tcPr>
            <w:tcW w:w="720" w:type="dxa"/>
            <w:vAlign w:val="bottom"/>
            <w:tcBorders>
              <w:top w:val="single" w:sz="8" w:color="auto"/>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EMRT</w:t>
            </w:r>
          </w:p>
        </w:tc>
        <w:tc>
          <w:tcPr>
            <w:tcW w:w="900" w:type="dxa"/>
            <w:vAlign w:val="bottom"/>
            <w:tcBorders>
              <w:top w:val="single" w:sz="8" w:color="auto"/>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DFA</w:t>
            </w:r>
          </w:p>
        </w:tc>
        <w:tc>
          <w:tcPr>
            <w:tcW w:w="1540" w:type="dxa"/>
            <w:vAlign w:val="bottom"/>
            <w:tcBorders>
              <w:top w:val="single" w:sz="8" w:color="auto"/>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Annual</w:t>
            </w:r>
          </w:p>
        </w:tc>
      </w:tr>
      <w:tr>
        <w:trPr>
          <w:trHeight w:val="243"/>
        </w:trPr>
        <w:tc>
          <w:tcPr>
            <w:tcW w:w="1260" w:type="dxa"/>
            <w:vAlign w:val="bottom"/>
            <w:tcBorders>
              <w:left w:val="single" w:sz="8" w:color="auto"/>
              <w:right w:val="single" w:sz="8" w:color="auto"/>
            </w:tcBorders>
            <w:shd w:val="clear" w:color="auto" w:fill="002060"/>
          </w:tcPr>
          <w:p>
            <w:pPr>
              <w:spacing w:after="0"/>
              <w:rPr>
                <w:sz w:val="21"/>
                <w:szCs w:val="21"/>
                <w:color w:val="auto"/>
              </w:rPr>
            </w:pPr>
          </w:p>
        </w:tc>
        <w:tc>
          <w:tcPr>
            <w:tcW w:w="1860" w:type="dxa"/>
            <w:vAlign w:val="bottom"/>
            <w:tcBorders>
              <w:right w:val="single" w:sz="8" w:color="auto"/>
            </w:tcBorders>
            <w:shd w:val="clear" w:color="auto" w:fill="002060"/>
          </w:tcPr>
          <w:p>
            <w:pPr>
              <w:spacing w:after="0"/>
              <w:rPr>
                <w:sz w:val="21"/>
                <w:szCs w:val="21"/>
                <w:color w:val="auto"/>
              </w:rPr>
            </w:pPr>
          </w:p>
        </w:tc>
        <w:tc>
          <w:tcPr>
            <w:tcW w:w="1040" w:type="dxa"/>
            <w:vAlign w:val="bottom"/>
            <w:tcBorders>
              <w:right w:val="single" w:sz="8" w:color="auto"/>
            </w:tcBorders>
            <w:shd w:val="clear" w:color="auto" w:fill="002060"/>
          </w:tcPr>
          <w:p>
            <w:pPr>
              <w:ind w:left="60"/>
              <w:spacing w:after="0"/>
              <w:rPr>
                <w:sz w:val="20"/>
                <w:szCs w:val="20"/>
                <w:color w:val="auto"/>
              </w:rPr>
            </w:pPr>
            <w:r>
              <w:rPr>
                <w:rFonts w:ascii="Arial" w:cs="Arial" w:eastAsia="Arial" w:hAnsi="Arial"/>
                <w:sz w:val="18"/>
                <w:szCs w:val="18"/>
                <w:b w:val="1"/>
                <w:bCs w:val="1"/>
                <w:color w:val="FFFFFF"/>
              </w:rPr>
              <w:t>statement</w:t>
            </w:r>
          </w:p>
        </w:tc>
        <w:tc>
          <w:tcPr>
            <w:tcW w:w="740" w:type="dxa"/>
            <w:vAlign w:val="bottom"/>
            <w:tcBorders>
              <w:right w:val="single" w:sz="8" w:color="auto"/>
            </w:tcBorders>
            <w:shd w:val="clear" w:color="auto" w:fill="002060"/>
          </w:tcPr>
          <w:p>
            <w:pPr>
              <w:spacing w:after="0"/>
              <w:rPr>
                <w:sz w:val="21"/>
                <w:szCs w:val="21"/>
                <w:color w:val="auto"/>
              </w:rPr>
            </w:pPr>
          </w:p>
        </w:tc>
        <w:tc>
          <w:tcPr>
            <w:tcW w:w="720" w:type="dxa"/>
            <w:vAlign w:val="bottom"/>
            <w:tcBorders>
              <w:right w:val="single" w:sz="8" w:color="auto"/>
            </w:tcBorders>
            <w:shd w:val="clear" w:color="auto" w:fill="002060"/>
          </w:tcPr>
          <w:p>
            <w:pPr>
              <w:spacing w:after="0"/>
              <w:rPr>
                <w:sz w:val="21"/>
                <w:szCs w:val="21"/>
                <w:color w:val="auto"/>
              </w:rPr>
            </w:pPr>
          </w:p>
        </w:tc>
        <w:tc>
          <w:tcPr>
            <w:tcW w:w="900" w:type="dxa"/>
            <w:vAlign w:val="bottom"/>
            <w:tcBorders>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(CMR)</w:t>
            </w:r>
          </w:p>
        </w:tc>
        <w:tc>
          <w:tcPr>
            <w:tcW w:w="1540" w:type="dxa"/>
            <w:vAlign w:val="bottom"/>
            <w:tcBorders>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responsible</w:t>
            </w:r>
          </w:p>
        </w:tc>
      </w:tr>
      <w:tr>
        <w:trPr>
          <w:trHeight w:val="248"/>
        </w:trPr>
        <w:tc>
          <w:tcPr>
            <w:tcW w:w="1260" w:type="dxa"/>
            <w:vAlign w:val="bottom"/>
            <w:tcBorders>
              <w:left w:val="single" w:sz="8" w:color="auto"/>
              <w:bottom w:val="single" w:sz="8" w:color="auto"/>
              <w:right w:val="single" w:sz="8" w:color="auto"/>
            </w:tcBorders>
            <w:shd w:val="clear" w:color="auto" w:fill="002060"/>
          </w:tcPr>
          <w:p>
            <w:pPr>
              <w:spacing w:after="0"/>
              <w:rPr>
                <w:sz w:val="21"/>
                <w:szCs w:val="21"/>
                <w:color w:val="auto"/>
              </w:rPr>
            </w:pPr>
          </w:p>
        </w:tc>
        <w:tc>
          <w:tcPr>
            <w:tcW w:w="1860" w:type="dxa"/>
            <w:vAlign w:val="bottom"/>
            <w:tcBorders>
              <w:bottom w:val="single" w:sz="8" w:color="auto"/>
              <w:right w:val="single" w:sz="8" w:color="auto"/>
            </w:tcBorders>
            <w:shd w:val="clear" w:color="auto" w:fill="002060"/>
          </w:tcPr>
          <w:p>
            <w:pPr>
              <w:spacing w:after="0"/>
              <w:rPr>
                <w:sz w:val="21"/>
                <w:szCs w:val="21"/>
                <w:color w:val="auto"/>
              </w:rPr>
            </w:pPr>
          </w:p>
        </w:tc>
        <w:tc>
          <w:tcPr>
            <w:tcW w:w="1040" w:type="dxa"/>
            <w:vAlign w:val="bottom"/>
            <w:tcBorders>
              <w:bottom w:val="single" w:sz="8" w:color="auto"/>
              <w:right w:val="single" w:sz="8" w:color="auto"/>
            </w:tcBorders>
            <w:shd w:val="clear" w:color="auto" w:fill="002060"/>
          </w:tcPr>
          <w:p>
            <w:pPr>
              <w:spacing w:after="0"/>
              <w:rPr>
                <w:sz w:val="21"/>
                <w:szCs w:val="21"/>
                <w:color w:val="auto"/>
              </w:rPr>
            </w:pPr>
          </w:p>
        </w:tc>
        <w:tc>
          <w:tcPr>
            <w:tcW w:w="740" w:type="dxa"/>
            <w:vAlign w:val="bottom"/>
            <w:tcBorders>
              <w:bottom w:val="single" w:sz="8" w:color="auto"/>
              <w:right w:val="single" w:sz="8" w:color="auto"/>
            </w:tcBorders>
            <w:shd w:val="clear" w:color="auto" w:fill="002060"/>
          </w:tcPr>
          <w:p>
            <w:pPr>
              <w:spacing w:after="0"/>
              <w:rPr>
                <w:sz w:val="21"/>
                <w:szCs w:val="21"/>
                <w:color w:val="auto"/>
              </w:rPr>
            </w:pPr>
          </w:p>
        </w:tc>
        <w:tc>
          <w:tcPr>
            <w:tcW w:w="720" w:type="dxa"/>
            <w:vAlign w:val="bottom"/>
            <w:tcBorders>
              <w:bottom w:val="single" w:sz="8" w:color="auto"/>
              <w:right w:val="single" w:sz="8" w:color="auto"/>
            </w:tcBorders>
            <w:shd w:val="clear" w:color="auto" w:fill="002060"/>
          </w:tcPr>
          <w:p>
            <w:pPr>
              <w:spacing w:after="0"/>
              <w:rPr>
                <w:sz w:val="21"/>
                <w:szCs w:val="21"/>
                <w:color w:val="auto"/>
              </w:rPr>
            </w:pPr>
          </w:p>
        </w:tc>
        <w:tc>
          <w:tcPr>
            <w:tcW w:w="900" w:type="dxa"/>
            <w:vAlign w:val="bottom"/>
            <w:tcBorders>
              <w:bottom w:val="single" w:sz="8" w:color="auto"/>
              <w:right w:val="single" w:sz="8" w:color="auto"/>
            </w:tcBorders>
            <w:shd w:val="clear" w:color="auto" w:fill="002060"/>
          </w:tcPr>
          <w:p>
            <w:pPr>
              <w:spacing w:after="0"/>
              <w:rPr>
                <w:sz w:val="21"/>
                <w:szCs w:val="21"/>
                <w:color w:val="auto"/>
              </w:rPr>
            </w:pPr>
          </w:p>
        </w:tc>
        <w:tc>
          <w:tcPr>
            <w:tcW w:w="1540" w:type="dxa"/>
            <w:vAlign w:val="bottom"/>
            <w:tcBorders>
              <w:bottom w:val="single" w:sz="8" w:color="auto"/>
              <w:right w:val="single" w:sz="8" w:color="auto"/>
            </w:tcBorders>
            <w:shd w:val="clear" w:color="auto" w:fill="002060"/>
          </w:tcPr>
          <w:p>
            <w:pPr>
              <w:ind w:left="80"/>
              <w:spacing w:after="0"/>
              <w:rPr>
                <w:sz w:val="20"/>
                <w:szCs w:val="20"/>
                <w:color w:val="auto"/>
              </w:rPr>
            </w:pPr>
            <w:r>
              <w:rPr>
                <w:rFonts w:ascii="Arial" w:cs="Arial" w:eastAsia="Arial" w:hAnsi="Arial"/>
                <w:sz w:val="18"/>
                <w:szCs w:val="18"/>
                <w:b w:val="1"/>
                <w:bCs w:val="1"/>
                <w:color w:val="FFFFFF"/>
              </w:rPr>
              <w:t>mineral report</w:t>
            </w: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1424"/>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2052"/>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50"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ANNEX I</w:t>
            </w:r>
          </w:p>
        </w:tc>
      </w:tr>
      <w:tr>
        <w:trPr>
          <w:trHeight w:val="20"/>
        </w:trPr>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3"/>
        </w:trPr>
        <w:tc>
          <w:tcPr>
            <w:tcW w:w="1920" w:type="dxa"/>
            <w:vAlign w:val="bottom"/>
          </w:tcPr>
          <w:p>
            <w:pPr>
              <w:spacing w:after="0"/>
              <w:rPr>
                <w:sz w:val="19"/>
                <w:szCs w:val="19"/>
                <w:color w:val="auto"/>
              </w:rPr>
            </w:pPr>
          </w:p>
        </w:tc>
        <w:tc>
          <w:tcPr>
            <w:tcW w:w="6020" w:type="dxa"/>
            <w:vAlign w:val="bottom"/>
            <w:gridSpan w:val="5"/>
          </w:tcPr>
          <w:p>
            <w:pPr>
              <w:jc w:val="center"/>
              <w:ind w:right="1720"/>
              <w:spacing w:after="0"/>
              <w:rPr>
                <w:sz w:val="20"/>
                <w:szCs w:val="20"/>
                <w:color w:val="auto"/>
              </w:rPr>
            </w:pPr>
            <w:r>
              <w:rPr>
                <w:rFonts w:ascii="Arial" w:cs="Arial" w:eastAsia="Arial" w:hAnsi="Arial"/>
                <w:sz w:val="18"/>
                <w:szCs w:val="18"/>
                <w:b w:val="1"/>
                <w:bCs w:val="1"/>
                <w:color w:val="auto"/>
                <w:w w:val="99"/>
              </w:rPr>
              <w:t>DEFINITIONS</w:t>
            </w:r>
          </w:p>
        </w:tc>
      </w:tr>
      <w:tr>
        <w:trPr>
          <w:trHeight w:val="317"/>
        </w:trPr>
        <w:tc>
          <w:tcPr>
            <w:tcW w:w="1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gridSpan w:val="3"/>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37"/>
        </w:trPr>
        <w:tc>
          <w:tcPr>
            <w:tcW w:w="1920" w:type="dxa"/>
            <w:vAlign w:val="bottom"/>
            <w:tcBorders>
              <w:left w:val="single" w:sz="8" w:color="auto"/>
              <w:bottom w:val="single" w:sz="8" w:color="auto"/>
              <w:right w:val="single" w:sz="8" w:color="auto"/>
            </w:tcBorders>
            <w:shd w:val="clear" w:color="auto" w:fill="03234B"/>
          </w:tcPr>
          <w:p>
            <w:pPr>
              <w:ind w:left="120"/>
              <w:spacing w:after="0"/>
              <w:rPr>
                <w:sz w:val="20"/>
                <w:szCs w:val="20"/>
                <w:color w:val="auto"/>
              </w:rPr>
            </w:pPr>
            <w:r>
              <w:rPr>
                <w:rFonts w:ascii="Arial" w:cs="Arial" w:eastAsia="Arial" w:hAnsi="Arial"/>
                <w:sz w:val="18"/>
                <w:szCs w:val="18"/>
                <w:b w:val="1"/>
                <w:bCs w:val="1"/>
                <w:color w:val="FFFFFF"/>
              </w:rPr>
              <w:t>Acronym</w:t>
            </w:r>
          </w:p>
        </w:tc>
        <w:tc>
          <w:tcPr>
            <w:tcW w:w="6020" w:type="dxa"/>
            <w:vAlign w:val="bottom"/>
            <w:tcBorders>
              <w:bottom w:val="single" w:sz="8" w:color="auto"/>
              <w:right w:val="single" w:sz="8" w:color="auto"/>
            </w:tcBorders>
            <w:gridSpan w:val="5"/>
            <w:shd w:val="clear" w:color="auto" w:fill="03234B"/>
          </w:tcPr>
          <w:p>
            <w:pPr>
              <w:ind w:left="80"/>
              <w:spacing w:after="0"/>
              <w:rPr>
                <w:sz w:val="20"/>
                <w:szCs w:val="20"/>
                <w:color w:val="auto"/>
              </w:rPr>
            </w:pPr>
            <w:r>
              <w:rPr>
                <w:rFonts w:ascii="Arial" w:cs="Arial" w:eastAsia="Arial" w:hAnsi="Arial"/>
                <w:sz w:val="18"/>
                <w:szCs w:val="18"/>
                <w:b w:val="1"/>
                <w:bCs w:val="1"/>
                <w:color w:val="FFFFFF"/>
              </w:rPr>
              <w:t>Definition</w:t>
            </w:r>
          </w:p>
        </w:tc>
      </w:tr>
      <w:tr>
        <w:trPr>
          <w:trHeight w:val="237"/>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ADAS</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Advanced driver-assistance systems</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CAHRA</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Conflict-Affected and High-Risk Area</w:t>
            </w:r>
          </w:p>
        </w:tc>
      </w:tr>
      <w:tr>
        <w:trPr>
          <w:trHeight w:val="237"/>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CMRT</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Conflict Minerals Reporting Template</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DAP</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Downstream Assessment Program</w:t>
            </w:r>
          </w:p>
        </w:tc>
      </w:tr>
      <w:tr>
        <w:trPr>
          <w:trHeight w:val="237"/>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EEPROM</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Electrically erasable programmable read-only memory</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IC</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Integrated circuit</w:t>
            </w:r>
          </w:p>
        </w:tc>
      </w:tr>
      <w:tr>
        <w:trPr>
          <w:trHeight w:val="237"/>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LBMA</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London Bullion Market Association</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RF</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Radio frequency</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RJC</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Responsible Jewellery Council</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RMAP</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Responsible Minerals Assurance Process</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RMI</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Responsible Minerals Initiative</w:t>
            </w:r>
          </w:p>
        </w:tc>
      </w:tr>
      <w:tr>
        <w:trPr>
          <w:trHeight w:val="236"/>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RCOI</w:t>
            </w:r>
          </w:p>
        </w:tc>
        <w:tc>
          <w:tcPr>
            <w:tcW w:w="6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Reasonable Country of Origin Inquiry</w:t>
            </w:r>
          </w:p>
        </w:tc>
      </w:tr>
      <w:tr>
        <w:trPr>
          <w:trHeight w:val="798"/>
        </w:trPr>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Conflict Minerals</w:t>
            </w: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The Conflict Minerals Reporting Template (CMRT) is a free, standardized</w:t>
            </w:r>
          </w:p>
        </w:tc>
      </w:tr>
      <w:tr>
        <w:trPr>
          <w:trHeight w:val="243"/>
        </w:trPr>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Reporting Template</w:t>
            </w: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reporting template developed by the Responsible Minerals Initiative</w:t>
            </w:r>
          </w:p>
        </w:tc>
      </w:tr>
      <w:tr>
        <w:trPr>
          <w:trHeight w:val="229"/>
        </w:trPr>
        <w:tc>
          <w:tcPr>
            <w:tcW w:w="1920" w:type="dxa"/>
            <w:vAlign w:val="bottom"/>
          </w:tcPr>
          <w:p>
            <w:pPr>
              <w:spacing w:after="0"/>
              <w:rPr>
                <w:sz w:val="19"/>
                <w:szCs w:val="19"/>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(RMI) that facilitates the transfer of information through the supply chain</w:t>
            </w:r>
          </w:p>
        </w:tc>
      </w:tr>
      <w:tr>
        <w:trPr>
          <w:trHeight w:val="239"/>
        </w:trPr>
        <w:tc>
          <w:tcPr>
            <w:tcW w:w="1920" w:type="dxa"/>
            <w:vAlign w:val="bottom"/>
          </w:tcPr>
          <w:p>
            <w:pPr>
              <w:spacing w:after="0"/>
              <w:rPr>
                <w:sz w:val="20"/>
                <w:szCs w:val="20"/>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regarding mineral country of origin and the smelters and refiners being</w:t>
            </w:r>
          </w:p>
        </w:tc>
      </w:tr>
      <w:tr>
        <w:trPr>
          <w:trHeight w:val="243"/>
        </w:trPr>
        <w:tc>
          <w:tcPr>
            <w:tcW w:w="1920" w:type="dxa"/>
            <w:vAlign w:val="bottom"/>
          </w:tcPr>
          <w:p>
            <w:pPr>
              <w:spacing w:after="0"/>
              <w:rPr>
                <w:sz w:val="21"/>
                <w:szCs w:val="21"/>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utilized. The template also facilitates the identification of new smelters</w:t>
            </w:r>
          </w:p>
        </w:tc>
      </w:tr>
      <w:tr>
        <w:trPr>
          <w:trHeight w:val="243"/>
        </w:trPr>
        <w:tc>
          <w:tcPr>
            <w:tcW w:w="1920" w:type="dxa"/>
            <w:vAlign w:val="bottom"/>
          </w:tcPr>
          <w:p>
            <w:pPr>
              <w:spacing w:after="0"/>
              <w:rPr>
                <w:sz w:val="21"/>
                <w:szCs w:val="21"/>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and refiners to potentially undergo an audit via the RMI’s Responsible</w:t>
            </w:r>
          </w:p>
        </w:tc>
      </w:tr>
      <w:tr>
        <w:trPr>
          <w:trHeight w:val="243"/>
        </w:trPr>
        <w:tc>
          <w:tcPr>
            <w:tcW w:w="1920" w:type="dxa"/>
            <w:vAlign w:val="bottom"/>
          </w:tcPr>
          <w:p>
            <w:pPr>
              <w:spacing w:after="0"/>
              <w:rPr>
                <w:sz w:val="21"/>
                <w:szCs w:val="21"/>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Minerals Assurance Process (RMAP).</w:t>
            </w:r>
          </w:p>
        </w:tc>
      </w:tr>
      <w:tr>
        <w:trPr>
          <w:trHeight w:val="247"/>
        </w:trPr>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Downstream</w:t>
            </w: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The RMI Downstream Assessment Program provides a mechanism for</w:t>
            </w:r>
          </w:p>
        </w:tc>
      </w:tr>
      <w:tr>
        <w:trPr>
          <w:trHeight w:val="243"/>
        </w:trPr>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Assessment</w:t>
            </w: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companies to obtain independent validation of responsible sourcing</w:t>
            </w:r>
          </w:p>
        </w:tc>
      </w:tr>
      <w:tr>
        <w:trPr>
          <w:trHeight w:val="229"/>
        </w:trPr>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Program</w:t>
            </w: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practices. The assessment is based on the OECD Due Diligence</w:t>
            </w:r>
          </w:p>
        </w:tc>
      </w:tr>
      <w:tr>
        <w:trPr>
          <w:trHeight w:val="239"/>
        </w:trPr>
        <w:tc>
          <w:tcPr>
            <w:tcW w:w="1920" w:type="dxa"/>
            <w:vAlign w:val="bottom"/>
          </w:tcPr>
          <w:p>
            <w:pPr>
              <w:spacing w:after="0"/>
              <w:rPr>
                <w:sz w:val="20"/>
                <w:szCs w:val="20"/>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Guidance for Responsible Supply Chains of Minerals from Conflict-</w:t>
            </w:r>
          </w:p>
        </w:tc>
      </w:tr>
      <w:tr>
        <w:trPr>
          <w:trHeight w:val="243"/>
        </w:trPr>
        <w:tc>
          <w:tcPr>
            <w:tcW w:w="1920" w:type="dxa"/>
            <w:vAlign w:val="bottom"/>
          </w:tcPr>
          <w:p>
            <w:pPr>
              <w:spacing w:after="0"/>
              <w:rPr>
                <w:sz w:val="21"/>
                <w:szCs w:val="21"/>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Affected and High-Risk Areas.</w:t>
            </w:r>
          </w:p>
        </w:tc>
      </w:tr>
    </w:tbl>
    <w:p>
      <w:pPr>
        <w:sectPr>
          <w:pgSz w:w="11900" w:h="16881" w:orient="portrait"/>
          <w:cols w:equalWidth="0" w:num="1">
            <w:col w:w="9019"/>
          </w:cols>
          <w:pgMar w:left="1440" w:top="120" w:right="1440" w:bottom="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8"/>
        </w:trPr>
        <w:tc>
          <w:tcPr>
            <w:tcW w:w="1340" w:type="dxa"/>
            <w:vAlign w:val="bottom"/>
            <w:tcBorders>
              <w:left w:val="single" w:sz="8" w:color="CCCCCC"/>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03234B"/>
          </w:tcPr>
          <w:p>
            <w:pPr>
              <w:ind w:left="100"/>
              <w:spacing w:after="0" w:line="149" w:lineRule="exact"/>
              <w:rPr>
                <w:sz w:val="20"/>
                <w:szCs w:val="20"/>
                <w:color w:val="auto"/>
              </w:rPr>
            </w:pPr>
            <w:r>
              <w:rPr>
                <w:rFonts w:ascii="Arial" w:cs="Arial" w:eastAsia="Arial" w:hAnsi="Arial"/>
                <w:sz w:val="17"/>
                <w:szCs w:val="17"/>
                <w:b w:val="1"/>
                <w:bCs w:val="1"/>
                <w:color w:val="auto"/>
              </w:rPr>
              <w:t>Downstream</w:t>
            </w:r>
          </w:p>
        </w:tc>
        <w:tc>
          <w:tcPr>
            <w:tcW w:w="6020" w:type="dxa"/>
            <w:vAlign w:val="bottom"/>
            <w:tcBorders>
              <w:top w:val="single" w:sz="8" w:color="auto"/>
              <w:right w:val="single" w:sz="8" w:color="auto"/>
            </w:tcBorders>
            <w:shd w:val="clear" w:color="auto" w:fill="03234B"/>
          </w:tcPr>
          <w:p>
            <w:pPr>
              <w:ind w:left="80"/>
              <w:spacing w:after="0" w:line="149" w:lineRule="exact"/>
              <w:rPr>
                <w:sz w:val="20"/>
                <w:szCs w:val="20"/>
                <w:color w:val="auto"/>
              </w:rPr>
            </w:pPr>
            <w:r>
              <w:rPr>
                <w:rFonts w:ascii="Arial" w:cs="Arial" w:eastAsia="Arial" w:hAnsi="Arial"/>
                <w:sz w:val="17"/>
                <w:szCs w:val="17"/>
                <w:color w:val="auto"/>
              </w:rPr>
              <w:t>The metal supply chain from the stage following the smelters and</w:t>
            </w:r>
          </w:p>
        </w:tc>
        <w:tc>
          <w:tcPr>
            <w:tcW w:w="1500" w:type="dxa"/>
            <w:vAlign w:val="bottom"/>
            <w:tcBorders>
              <w:right w:val="single" w:sz="8" w:color="CCCCCC"/>
            </w:tcBorders>
          </w:tcPr>
          <w:p>
            <w:pPr>
              <w:spacing w:after="0"/>
              <w:rPr>
                <w:sz w:val="12"/>
                <w:szCs w:val="12"/>
                <w:color w:val="auto"/>
              </w:rPr>
            </w:pPr>
          </w:p>
        </w:tc>
      </w:tr>
      <w:tr>
        <w:trPr>
          <w:trHeight w:val="108"/>
        </w:trPr>
        <w:tc>
          <w:tcPr>
            <w:tcW w:w="1340" w:type="dxa"/>
            <w:vAlign w:val="bottom"/>
            <w:tcBorders>
              <w:left w:val="single" w:sz="8" w:color="CCCCCC"/>
              <w:right w:val="single" w:sz="8" w:color="auto"/>
            </w:tcBorders>
          </w:tcPr>
          <w:p>
            <w:pPr>
              <w:spacing w:after="0"/>
              <w:rPr>
                <w:sz w:val="9"/>
                <w:szCs w:val="9"/>
                <w:color w:val="auto"/>
              </w:rPr>
            </w:pPr>
          </w:p>
        </w:tc>
        <w:tc>
          <w:tcPr>
            <w:tcW w:w="1900" w:type="dxa"/>
            <w:vAlign w:val="bottom"/>
            <w:tcBorders>
              <w:bottom w:val="single" w:sz="8" w:color="auto"/>
              <w:right w:val="single" w:sz="8" w:color="auto"/>
            </w:tcBorders>
            <w:shd w:val="clear" w:color="auto" w:fill="03234B"/>
          </w:tcPr>
          <w:p>
            <w:pPr>
              <w:ind w:left="100"/>
              <w:spacing w:after="0" w:line="108" w:lineRule="exact"/>
              <w:rPr>
                <w:sz w:val="20"/>
                <w:szCs w:val="20"/>
                <w:color w:val="auto"/>
              </w:rPr>
            </w:pPr>
            <w:r>
              <w:rPr>
                <w:rFonts w:ascii="Arial" w:cs="Arial" w:eastAsia="Arial" w:hAnsi="Arial"/>
                <w:sz w:val="12"/>
                <w:szCs w:val="12"/>
                <w:b w:val="1"/>
                <w:bCs w:val="1"/>
                <w:color w:val="FFFFFF"/>
              </w:rPr>
              <w:t>Term</w:t>
            </w:r>
          </w:p>
        </w:tc>
        <w:tc>
          <w:tcPr>
            <w:tcW w:w="6020" w:type="dxa"/>
            <w:vAlign w:val="bottom"/>
            <w:tcBorders>
              <w:bottom w:val="single" w:sz="8" w:color="auto"/>
              <w:right w:val="single" w:sz="8" w:color="auto"/>
            </w:tcBorders>
            <w:shd w:val="clear" w:color="auto" w:fill="03234B"/>
          </w:tcPr>
          <w:p>
            <w:pPr>
              <w:ind w:left="80"/>
              <w:spacing w:after="0" w:line="108" w:lineRule="exact"/>
              <w:rPr>
                <w:sz w:val="20"/>
                <w:szCs w:val="20"/>
                <w:color w:val="auto"/>
              </w:rPr>
            </w:pPr>
            <w:r>
              <w:rPr>
                <w:rFonts w:ascii="Arial" w:cs="Arial" w:eastAsia="Arial" w:hAnsi="Arial"/>
                <w:sz w:val="12"/>
                <w:szCs w:val="12"/>
                <w:b w:val="1"/>
                <w:bCs w:val="1"/>
                <w:color w:val="FFFFFF"/>
              </w:rPr>
              <w:t>Definition</w:t>
            </w:r>
          </w:p>
        </w:tc>
        <w:tc>
          <w:tcPr>
            <w:tcW w:w="1500" w:type="dxa"/>
            <w:vAlign w:val="bottom"/>
            <w:tcBorders>
              <w:right w:val="single" w:sz="8" w:color="CCCCCC"/>
            </w:tcBorders>
          </w:tcPr>
          <w:p>
            <w:pPr>
              <w:spacing w:after="0"/>
              <w:rPr>
                <w:sz w:val="9"/>
                <w:szCs w:val="9"/>
                <w:color w:val="auto"/>
              </w:rPr>
            </w:pPr>
          </w:p>
        </w:tc>
      </w:tr>
      <w:tr>
        <w:trPr>
          <w:trHeight w:val="177"/>
        </w:trPr>
        <w:tc>
          <w:tcPr>
            <w:tcW w:w="1340" w:type="dxa"/>
            <w:vAlign w:val="bottom"/>
            <w:tcBorders>
              <w:left w:val="single" w:sz="8" w:color="CCCCCC"/>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60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refiners to the final product.</w:t>
            </w:r>
          </w:p>
        </w:tc>
        <w:tc>
          <w:tcPr>
            <w:tcW w:w="1500" w:type="dxa"/>
            <w:vAlign w:val="bottom"/>
            <w:tcBorders>
              <w:right w:val="single" w:sz="8" w:color="CCCCCC"/>
            </w:tcBorders>
          </w:tcPr>
          <w:p>
            <w:pPr>
              <w:spacing w:after="0"/>
              <w:rPr>
                <w:sz w:val="15"/>
                <w:szCs w:val="15"/>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London Bullion</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LBMA set standards from the purity, form and provenance of the</w:t>
            </w:r>
          </w:p>
        </w:tc>
        <w:tc>
          <w:tcPr>
            <w:tcW w:w="1500" w:type="dxa"/>
            <w:vAlign w:val="bottom"/>
            <w:tcBorders>
              <w:right w:val="single" w:sz="8" w:color="CCCCCC"/>
            </w:tcBorders>
          </w:tcPr>
          <w:p>
            <w:pPr>
              <w:spacing w:after="0"/>
              <w:rPr>
                <w:sz w:val="21"/>
                <w:szCs w:val="21"/>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Market Association</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bars to the way in which they are traded.</w:t>
            </w:r>
          </w:p>
        </w:tc>
        <w:tc>
          <w:tcPr>
            <w:tcW w:w="1500" w:type="dxa"/>
            <w:vAlign w:val="bottom"/>
            <w:tcBorders>
              <w:right w:val="single" w:sz="8" w:color="CCCCCC"/>
            </w:tcBorders>
          </w:tcPr>
          <w:p>
            <w:pPr>
              <w:spacing w:after="0"/>
              <w:rPr>
                <w:sz w:val="21"/>
                <w:szCs w:val="21"/>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Reasonable</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purpose of a RCOI is to determine the origin of the conflict mineral,</w:t>
            </w:r>
          </w:p>
        </w:tc>
        <w:tc>
          <w:tcPr>
            <w:tcW w:w="1500" w:type="dxa"/>
            <w:vAlign w:val="bottom"/>
            <w:tcBorders>
              <w:right w:val="single" w:sz="8" w:color="CCCCCC"/>
            </w:tcBorders>
          </w:tcPr>
          <w:p>
            <w:pPr>
              <w:spacing w:after="0"/>
              <w:rPr>
                <w:sz w:val="21"/>
                <w:szCs w:val="21"/>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Country of Origin</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 the determination of whether it came from a covered country can be</w:t>
            </w:r>
          </w:p>
        </w:tc>
        <w:tc>
          <w:tcPr>
            <w:tcW w:w="1500" w:type="dxa"/>
            <w:vAlign w:val="bottom"/>
            <w:tcBorders>
              <w:right w:val="single" w:sz="8" w:color="CCCCCC"/>
            </w:tcBorders>
          </w:tcPr>
          <w:p>
            <w:pPr>
              <w:spacing w:after="0"/>
              <w:rPr>
                <w:sz w:val="21"/>
                <w:szCs w:val="21"/>
                <w:color w:val="auto"/>
              </w:rPr>
            </w:pPr>
          </w:p>
        </w:tc>
      </w:tr>
      <w:tr>
        <w:trPr>
          <w:trHeight w:val="247"/>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Inquiry</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made.</w:t>
            </w:r>
          </w:p>
        </w:tc>
        <w:tc>
          <w:tcPr>
            <w:tcW w:w="1500" w:type="dxa"/>
            <w:vAlign w:val="bottom"/>
            <w:tcBorders>
              <w:right w:val="single" w:sz="8" w:color="CCCCCC"/>
            </w:tcBorders>
          </w:tcPr>
          <w:p>
            <w:pPr>
              <w:spacing w:after="0"/>
              <w:rPr>
                <w:sz w:val="21"/>
                <w:szCs w:val="21"/>
                <w:color w:val="auto"/>
              </w:rPr>
            </w:pPr>
          </w:p>
        </w:tc>
      </w:tr>
      <w:tr>
        <w:trPr>
          <w:trHeight w:val="265"/>
        </w:trPr>
        <w:tc>
          <w:tcPr>
            <w:tcW w:w="1340" w:type="dxa"/>
            <w:vAlign w:val="bottom"/>
            <w:tcBorders>
              <w:left w:val="single" w:sz="8" w:color="CCCCCC"/>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Responsible</w:t>
            </w: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RJC is the world’s leading standard-setting organization for the entire</w:t>
            </w:r>
          </w:p>
        </w:tc>
        <w:tc>
          <w:tcPr>
            <w:tcW w:w="1500" w:type="dxa"/>
            <w:vAlign w:val="bottom"/>
            <w:tcBorders>
              <w:right w:val="single" w:sz="8" w:color="CCCCCC"/>
            </w:tcBorders>
          </w:tcPr>
          <w:p>
            <w:pPr>
              <w:spacing w:after="0"/>
              <w:rPr>
                <w:sz w:val="23"/>
                <w:szCs w:val="23"/>
                <w:color w:val="auto"/>
              </w:rPr>
            </w:pPr>
          </w:p>
        </w:tc>
      </w:tr>
      <w:tr>
        <w:trPr>
          <w:trHeight w:val="211"/>
        </w:trPr>
        <w:tc>
          <w:tcPr>
            <w:tcW w:w="1340" w:type="dxa"/>
            <w:vAlign w:val="bottom"/>
            <w:tcBorders>
              <w:left w:val="single" w:sz="8" w:color="CCCCCC"/>
              <w:right w:val="single" w:sz="8" w:color="auto"/>
            </w:tcBorders>
          </w:tcPr>
          <w:p>
            <w:pPr>
              <w:spacing w:after="0"/>
              <w:rPr>
                <w:sz w:val="18"/>
                <w:szCs w:val="18"/>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Jewellery Council</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jewellery and watch industry.</w:t>
            </w:r>
          </w:p>
        </w:tc>
        <w:tc>
          <w:tcPr>
            <w:tcW w:w="1500" w:type="dxa"/>
            <w:vAlign w:val="bottom"/>
            <w:tcBorders>
              <w:right w:val="single" w:sz="8" w:color="CCCCCC"/>
            </w:tcBorders>
          </w:tcPr>
          <w:p>
            <w:pPr>
              <w:spacing w:after="0"/>
              <w:rPr>
                <w:sz w:val="18"/>
                <w:szCs w:val="18"/>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Responsible</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RMAP uses an independent third-party assessment of smelter/</w:t>
            </w:r>
          </w:p>
        </w:tc>
        <w:tc>
          <w:tcPr>
            <w:tcW w:w="1500" w:type="dxa"/>
            <w:vAlign w:val="bottom"/>
            <w:tcBorders>
              <w:right w:val="single" w:sz="8" w:color="CCCCCC"/>
            </w:tcBorders>
          </w:tcPr>
          <w:p>
            <w:pPr>
              <w:spacing w:after="0"/>
              <w:rPr>
                <w:sz w:val="21"/>
                <w:szCs w:val="21"/>
                <w:color w:val="auto"/>
              </w:rPr>
            </w:pPr>
          </w:p>
        </w:tc>
      </w:tr>
      <w:tr>
        <w:trPr>
          <w:trHeight w:val="243"/>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Minerals Assurance</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refiner management systems and sourcing practices to validate</w:t>
            </w:r>
          </w:p>
        </w:tc>
        <w:tc>
          <w:tcPr>
            <w:tcW w:w="1500" w:type="dxa"/>
            <w:vAlign w:val="bottom"/>
            <w:tcBorders>
              <w:right w:val="single" w:sz="8" w:color="CCCCCC"/>
            </w:tcBorders>
          </w:tcPr>
          <w:p>
            <w:pPr>
              <w:spacing w:after="0"/>
              <w:rPr>
                <w:sz w:val="21"/>
                <w:szCs w:val="21"/>
                <w:color w:val="auto"/>
              </w:rPr>
            </w:pPr>
          </w:p>
        </w:tc>
      </w:tr>
      <w:tr>
        <w:trPr>
          <w:trHeight w:val="247"/>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Process</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conformance with RMAP standards.</w:t>
            </w:r>
          </w:p>
        </w:tc>
        <w:tc>
          <w:tcPr>
            <w:tcW w:w="1500" w:type="dxa"/>
            <w:vAlign w:val="bottom"/>
            <w:tcBorders>
              <w:right w:val="single" w:sz="8" w:color="CCCCCC"/>
            </w:tcBorders>
          </w:tcPr>
          <w:p>
            <w:pPr>
              <w:spacing w:after="0"/>
              <w:rPr>
                <w:sz w:val="21"/>
                <w:szCs w:val="21"/>
                <w:color w:val="auto"/>
              </w:rPr>
            </w:pPr>
          </w:p>
        </w:tc>
      </w:tr>
      <w:tr>
        <w:trPr>
          <w:trHeight w:val="245"/>
        </w:trPr>
        <w:tc>
          <w:tcPr>
            <w:tcW w:w="1340" w:type="dxa"/>
            <w:vAlign w:val="bottom"/>
            <w:tcBorders>
              <w:left w:val="single" w:sz="8" w:color="CCCCCC"/>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Responsible</w:t>
            </w: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Person in charge to manage operationally the responsible minerals</w:t>
            </w:r>
          </w:p>
        </w:tc>
        <w:tc>
          <w:tcPr>
            <w:tcW w:w="1500" w:type="dxa"/>
            <w:vAlign w:val="bottom"/>
            <w:tcBorders>
              <w:right w:val="single" w:sz="8" w:color="CCCCCC"/>
            </w:tcBorders>
          </w:tcPr>
          <w:p>
            <w:pPr>
              <w:spacing w:after="0"/>
              <w:rPr>
                <w:sz w:val="21"/>
                <w:szCs w:val="21"/>
                <w:color w:val="auto"/>
              </w:rPr>
            </w:pPr>
          </w:p>
        </w:tc>
      </w:tr>
      <w:tr>
        <w:trPr>
          <w:trHeight w:val="231"/>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Minerals operator</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program.</w:t>
            </w:r>
          </w:p>
        </w:tc>
        <w:tc>
          <w:tcPr>
            <w:tcW w:w="1500" w:type="dxa"/>
            <w:vAlign w:val="bottom"/>
            <w:tcBorders>
              <w:right w:val="single" w:sz="8" w:color="CCCCCC"/>
            </w:tcBorders>
          </w:tcPr>
          <w:p>
            <w:pPr>
              <w:spacing w:after="0"/>
              <w:rPr>
                <w:sz w:val="20"/>
                <w:szCs w:val="20"/>
                <w:color w:val="auto"/>
              </w:rPr>
            </w:pPr>
          </w:p>
        </w:tc>
      </w:tr>
      <w:tr>
        <w:trPr>
          <w:trHeight w:val="235"/>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Responsible</w:t>
            </w: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Questionnaire deployed to our suppliers to check their alignment with</w:t>
            </w:r>
          </w:p>
        </w:tc>
        <w:tc>
          <w:tcPr>
            <w:tcW w:w="1500" w:type="dxa"/>
            <w:vAlign w:val="bottom"/>
            <w:tcBorders>
              <w:right w:val="single" w:sz="8" w:color="CCCCCC"/>
            </w:tcBorders>
          </w:tcPr>
          <w:p>
            <w:pPr>
              <w:spacing w:after="0"/>
              <w:rPr>
                <w:sz w:val="20"/>
                <w:szCs w:val="20"/>
                <w:color w:val="auto"/>
              </w:rPr>
            </w:pPr>
          </w:p>
        </w:tc>
      </w:tr>
      <w:tr>
        <w:trPr>
          <w:trHeight w:val="231"/>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Minerals Statement</w:t>
            </w: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requirements and evaluate some downstream risks.</w:t>
            </w:r>
          </w:p>
        </w:tc>
        <w:tc>
          <w:tcPr>
            <w:tcW w:w="1500" w:type="dxa"/>
            <w:vAlign w:val="bottom"/>
            <w:tcBorders>
              <w:right w:val="single" w:sz="8" w:color="CCCCCC"/>
            </w:tcBorders>
          </w:tcPr>
          <w:p>
            <w:pPr>
              <w:spacing w:after="0"/>
              <w:rPr>
                <w:sz w:val="20"/>
                <w:szCs w:val="20"/>
                <w:color w:val="auto"/>
              </w:rPr>
            </w:pPr>
          </w:p>
        </w:tc>
      </w:tr>
      <w:tr>
        <w:trPr>
          <w:trHeight w:val="235"/>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RMAP standards</w:t>
            </w: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RMAP standards are developed to meet the requirements of the</w:t>
            </w:r>
          </w:p>
        </w:tc>
        <w:tc>
          <w:tcPr>
            <w:tcW w:w="1500" w:type="dxa"/>
            <w:vAlign w:val="bottom"/>
            <w:tcBorders>
              <w:right w:val="single" w:sz="8" w:color="CCCCCC"/>
            </w:tcBorders>
          </w:tcPr>
          <w:p>
            <w:pPr>
              <w:spacing w:after="0"/>
              <w:rPr>
                <w:sz w:val="20"/>
                <w:szCs w:val="20"/>
                <w:color w:val="auto"/>
              </w:rPr>
            </w:pPr>
          </w:p>
        </w:tc>
      </w:tr>
      <w:tr>
        <w:trPr>
          <w:trHeight w:val="231"/>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OECD Due Diligence Guidance, the Regulation (EU) 2017/821 of the</w:t>
            </w:r>
          </w:p>
        </w:tc>
        <w:tc>
          <w:tcPr>
            <w:tcW w:w="1500" w:type="dxa"/>
            <w:vAlign w:val="bottom"/>
            <w:tcBorders>
              <w:right w:val="single" w:sz="8" w:color="CCCCCC"/>
            </w:tcBorders>
          </w:tcPr>
          <w:p>
            <w:pPr>
              <w:spacing w:after="0"/>
              <w:rPr>
                <w:sz w:val="20"/>
                <w:szCs w:val="20"/>
                <w:color w:val="auto"/>
              </w:rPr>
            </w:pPr>
          </w:p>
        </w:tc>
      </w:tr>
      <w:tr>
        <w:trPr>
          <w:trHeight w:val="229"/>
        </w:trPr>
        <w:tc>
          <w:tcPr>
            <w:tcW w:w="1340" w:type="dxa"/>
            <w:vAlign w:val="bottom"/>
            <w:tcBorders>
              <w:left w:val="single" w:sz="8" w:color="CCCCCC"/>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European Parliament and the U.S. Dodd-Frank Wall Street Reform and</w:t>
            </w:r>
          </w:p>
        </w:tc>
        <w:tc>
          <w:tcPr>
            <w:tcW w:w="1500" w:type="dxa"/>
            <w:vAlign w:val="bottom"/>
            <w:tcBorders>
              <w:right w:val="single" w:sz="8" w:color="CCCCCC"/>
            </w:tcBorders>
          </w:tcPr>
          <w:p>
            <w:pPr>
              <w:spacing w:after="0"/>
              <w:rPr>
                <w:sz w:val="19"/>
                <w:szCs w:val="19"/>
                <w:color w:val="auto"/>
              </w:rPr>
            </w:pPr>
          </w:p>
        </w:tc>
      </w:tr>
      <w:tr>
        <w:trPr>
          <w:trHeight w:val="239"/>
        </w:trPr>
        <w:tc>
          <w:tcPr>
            <w:tcW w:w="1340" w:type="dxa"/>
            <w:vAlign w:val="bottom"/>
            <w:tcBorders>
              <w:left w:val="single" w:sz="8" w:color="CCCCCC"/>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Consumer Protection Act.</w:t>
            </w:r>
          </w:p>
        </w:tc>
        <w:tc>
          <w:tcPr>
            <w:tcW w:w="1500" w:type="dxa"/>
            <w:vAlign w:val="bottom"/>
            <w:tcBorders>
              <w:right w:val="single" w:sz="8" w:color="CCCCCC"/>
            </w:tcBorders>
          </w:tcPr>
          <w:p>
            <w:pPr>
              <w:spacing w:after="0"/>
              <w:rPr>
                <w:sz w:val="20"/>
                <w:szCs w:val="20"/>
                <w:color w:val="auto"/>
              </w:rPr>
            </w:pPr>
          </w:p>
        </w:tc>
      </w:tr>
      <w:tr>
        <w:trPr>
          <w:trHeight w:val="23"/>
        </w:trPr>
        <w:tc>
          <w:tcPr>
            <w:tcW w:w="1340" w:type="dxa"/>
            <w:vAlign w:val="bottom"/>
            <w:tcBorders>
              <w:left w:val="single" w:sz="8" w:color="CCCCCC"/>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6020" w:type="dxa"/>
            <w:vAlign w:val="bottom"/>
            <w:tcBorders>
              <w:bottom w:val="single" w:sz="8" w:color="auto"/>
              <w:right w:val="single" w:sz="8" w:color="auto"/>
            </w:tcBorders>
          </w:tcPr>
          <w:p>
            <w:pPr>
              <w:spacing w:after="0"/>
              <w:rPr>
                <w:sz w:val="2"/>
                <w:szCs w:val="2"/>
                <w:color w:val="auto"/>
              </w:rPr>
            </w:pPr>
          </w:p>
        </w:tc>
        <w:tc>
          <w:tcPr>
            <w:tcW w:w="1500" w:type="dxa"/>
            <w:vAlign w:val="bottom"/>
            <w:tcBorders>
              <w:right w:val="single" w:sz="8" w:color="CCCCCC"/>
            </w:tcBorders>
          </w:tcPr>
          <w:p>
            <w:pPr>
              <w:spacing w:after="0"/>
              <w:rPr>
                <w:sz w:val="2"/>
                <w:szCs w:val="2"/>
                <w:color w:val="auto"/>
              </w:rPr>
            </w:pPr>
          </w:p>
        </w:tc>
      </w:tr>
      <w:tr>
        <w:trPr>
          <w:trHeight w:val="493"/>
        </w:trPr>
        <w:tc>
          <w:tcPr>
            <w:tcW w:w="1340" w:type="dxa"/>
            <w:vAlign w:val="bottom"/>
            <w:tcBorders>
              <w:left w:val="single" w:sz="8" w:color="CCCCCC"/>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6020" w:type="dxa"/>
            <w:vAlign w:val="bottom"/>
            <w:tcBorders>
              <w:right w:val="single" w:sz="8" w:color="auto"/>
            </w:tcBorders>
          </w:tcPr>
          <w:p>
            <w:pPr>
              <w:ind w:left="2040"/>
              <w:spacing w:after="0"/>
              <w:rPr>
                <w:sz w:val="20"/>
                <w:szCs w:val="20"/>
                <w:color w:val="auto"/>
              </w:rPr>
            </w:pPr>
            <w:r>
              <w:rPr>
                <w:rFonts w:ascii="Arial" w:cs="Arial" w:eastAsia="Arial" w:hAnsi="Arial"/>
                <w:sz w:val="20"/>
                <w:szCs w:val="20"/>
                <w:color w:val="002052"/>
              </w:rPr>
              <w:t>21</w:t>
            </w:r>
          </w:p>
        </w:tc>
        <w:tc>
          <w:tcPr>
            <w:tcW w:w="1500" w:type="dxa"/>
            <w:vAlign w:val="bottom"/>
            <w:tcBorders>
              <w:right w:val="single" w:sz="8" w:color="CCCCCC"/>
            </w:tcBorders>
          </w:tcPr>
          <w:p>
            <w:pPr>
              <w:spacing w:after="0"/>
              <w:rPr>
                <w:sz w:val="24"/>
                <w:szCs w:val="24"/>
                <w:color w:val="auto"/>
              </w:rPr>
            </w:pPr>
          </w:p>
        </w:tc>
      </w:tr>
      <w:tr>
        <w:trPr>
          <w:trHeight w:val="715"/>
        </w:trPr>
        <w:tc>
          <w:tcPr>
            <w:tcW w:w="1340" w:type="dxa"/>
            <w:vAlign w:val="bottom"/>
            <w:tcBorders>
              <w:left w:val="single" w:sz="8" w:color="CCCCCC"/>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c>
          <w:tcPr>
            <w:tcW w:w="1500" w:type="dxa"/>
            <w:vAlign w:val="bottom"/>
            <w:tcBorders>
              <w:right w:val="single" w:sz="8" w:color="CCCCCC"/>
            </w:tcBorders>
          </w:tcPr>
          <w:p>
            <w:pPr>
              <w:spacing w:after="0"/>
              <w:rPr>
                <w:sz w:val="24"/>
                <w:szCs w:val="24"/>
                <w:color w:val="auto"/>
              </w:rPr>
            </w:pPr>
          </w:p>
        </w:tc>
      </w:tr>
      <w:tr>
        <w:trPr>
          <w:trHeight w:val="193"/>
        </w:trPr>
        <w:tc>
          <w:tcPr>
            <w:tcW w:w="1340" w:type="dxa"/>
            <w:vAlign w:val="bottom"/>
            <w:tcBorders>
              <w:left w:val="single" w:sz="8" w:color="CCCCCC"/>
              <w:bottom w:val="single" w:sz="8" w:color="CCCCCC"/>
              <w:right w:val="single" w:sz="8" w:color="auto"/>
            </w:tcBorders>
          </w:tcPr>
          <w:p>
            <w:pPr>
              <w:spacing w:after="0"/>
              <w:rPr>
                <w:sz w:val="16"/>
                <w:szCs w:val="16"/>
                <w:color w:val="auto"/>
              </w:rPr>
            </w:pPr>
          </w:p>
        </w:tc>
        <w:tc>
          <w:tcPr>
            <w:tcW w:w="1900" w:type="dxa"/>
            <w:vAlign w:val="bottom"/>
            <w:tcBorders>
              <w:bottom w:val="single" w:sz="8" w:color="CCCCCC"/>
              <w:right w:val="single" w:sz="8" w:color="auto"/>
            </w:tcBorders>
          </w:tcPr>
          <w:p>
            <w:pPr>
              <w:spacing w:after="0"/>
              <w:rPr>
                <w:sz w:val="16"/>
                <w:szCs w:val="16"/>
                <w:color w:val="auto"/>
              </w:rPr>
            </w:pPr>
          </w:p>
        </w:tc>
        <w:tc>
          <w:tcPr>
            <w:tcW w:w="6020" w:type="dxa"/>
            <w:vAlign w:val="bottom"/>
            <w:tcBorders>
              <w:bottom w:val="single" w:sz="8" w:color="CCCCCC"/>
              <w:right w:val="single" w:sz="8" w:color="auto"/>
            </w:tcBorders>
          </w:tcPr>
          <w:p>
            <w:pPr>
              <w:spacing w:after="0"/>
              <w:rPr>
                <w:sz w:val="16"/>
                <w:szCs w:val="16"/>
                <w:color w:val="auto"/>
              </w:rPr>
            </w:pPr>
          </w:p>
        </w:tc>
        <w:tc>
          <w:tcPr>
            <w:tcW w:w="1500" w:type="dxa"/>
            <w:vAlign w:val="bottom"/>
            <w:tcBorders>
              <w:bottom w:val="single" w:sz="8" w:color="CCCCCC"/>
              <w:right w:val="single" w:sz="8" w:color="CCCCCC"/>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30" w:type="dxa"/>
        <w:tblCellMar>
          <w:top w:w="0" w:type="dxa"/>
          <w:left w:w="0" w:type="dxa"/>
          <w:bottom w:w="0" w:type="dxa"/>
          <w:right w:w="0" w:type="dxa"/>
        </w:tblCellMar>
      </w:tblPr>
      <w:tr>
        <w:trPr>
          <w:trHeight w:val="256"/>
        </w:trPr>
        <w:tc>
          <w:tcPr>
            <w:tcW w:w="1920" w:type="dxa"/>
            <w:vAlign w:val="bottom"/>
            <w:tcBorders>
              <w:top w:val="single" w:sz="8" w:color="auto"/>
              <w:left w:val="single" w:sz="8" w:color="auto"/>
              <w:bottom w:val="single" w:sz="8" w:color="auto"/>
              <w:right w:val="single" w:sz="8" w:color="auto"/>
            </w:tcBorders>
            <w:shd w:val="clear" w:color="auto" w:fill="03234B"/>
          </w:tcPr>
          <w:p>
            <w:pPr>
              <w:ind w:left="120"/>
              <w:spacing w:after="0"/>
              <w:rPr>
                <w:sz w:val="20"/>
                <w:szCs w:val="20"/>
                <w:color w:val="auto"/>
              </w:rPr>
            </w:pPr>
            <w:r>
              <w:rPr>
                <w:rFonts w:ascii="Arial" w:cs="Arial" w:eastAsia="Arial" w:hAnsi="Arial"/>
                <w:sz w:val="18"/>
                <w:szCs w:val="18"/>
                <w:b w:val="1"/>
                <w:bCs w:val="1"/>
                <w:color w:val="FFFFFF"/>
              </w:rPr>
              <w:t>Term</w:t>
            </w:r>
          </w:p>
        </w:tc>
        <w:tc>
          <w:tcPr>
            <w:tcW w:w="6020" w:type="dxa"/>
            <w:vAlign w:val="bottom"/>
            <w:tcBorders>
              <w:top w:val="single" w:sz="8" w:color="auto"/>
              <w:bottom w:val="single" w:sz="8" w:color="auto"/>
              <w:right w:val="single" w:sz="8" w:color="auto"/>
            </w:tcBorders>
            <w:shd w:val="clear" w:color="auto" w:fill="03234B"/>
          </w:tcPr>
          <w:p>
            <w:pPr>
              <w:ind w:left="80"/>
              <w:spacing w:after="0"/>
              <w:rPr>
                <w:sz w:val="20"/>
                <w:szCs w:val="20"/>
                <w:color w:val="auto"/>
              </w:rPr>
            </w:pPr>
            <w:r>
              <w:rPr>
                <w:rFonts w:ascii="Arial" w:cs="Arial" w:eastAsia="Arial" w:hAnsi="Arial"/>
                <w:sz w:val="18"/>
                <w:szCs w:val="18"/>
                <w:b w:val="1"/>
                <w:bCs w:val="1"/>
                <w:color w:val="FFFFFF"/>
              </w:rPr>
              <w:t>Definition</w:t>
            </w:r>
          </w:p>
        </w:tc>
      </w:tr>
      <w:tr>
        <w:trPr>
          <w:trHeight w:val="204"/>
        </w:trPr>
        <w:tc>
          <w:tcPr>
            <w:tcW w:w="1920" w:type="dxa"/>
            <w:vAlign w:val="bottom"/>
            <w:tcBorders>
              <w:left w:val="single" w:sz="8" w:color="auto"/>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Smelter / Refiner</w:t>
            </w:r>
          </w:p>
        </w:tc>
        <w:tc>
          <w:tcPr>
            <w:tcW w:w="602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According to the EU regulation, smelter and refiner means any natural or</w:t>
            </w:r>
          </w:p>
        </w:tc>
      </w:tr>
      <w:tr>
        <w:trPr>
          <w:trHeight w:val="239"/>
        </w:trPr>
        <w:tc>
          <w:tcPr>
            <w:tcW w:w="192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legal person performing forms of extractive metallurgy involving</w:t>
            </w:r>
          </w:p>
        </w:tc>
      </w:tr>
      <w:tr>
        <w:trPr>
          <w:trHeight w:val="243"/>
        </w:trPr>
        <w:tc>
          <w:tcPr>
            <w:tcW w:w="192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processing steps with the aim to produce a metal from a mineral.</w:t>
            </w:r>
          </w:p>
        </w:tc>
      </w:tr>
      <w:tr>
        <w:trPr>
          <w:trHeight w:val="36"/>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6020" w:type="dxa"/>
            <w:vAlign w:val="bottom"/>
            <w:tcBorders>
              <w:bottom w:val="single" w:sz="8" w:color="auto"/>
              <w:right w:val="single" w:sz="8" w:color="auto"/>
            </w:tcBorders>
          </w:tcPr>
          <w:p>
            <w:pPr>
              <w:spacing w:after="0"/>
              <w:rPr>
                <w:sz w:val="3"/>
                <w:szCs w:val="3"/>
                <w:color w:val="auto"/>
              </w:rPr>
            </w:pPr>
          </w:p>
        </w:tc>
      </w:tr>
      <w:tr>
        <w:trPr>
          <w:trHeight w:val="204"/>
        </w:trPr>
        <w:tc>
          <w:tcPr>
            <w:tcW w:w="1920" w:type="dxa"/>
            <w:vAlign w:val="bottom"/>
            <w:tcBorders>
              <w:left w:val="single" w:sz="8" w:color="auto"/>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Upstream</w:t>
            </w:r>
          </w:p>
        </w:tc>
        <w:tc>
          <w:tcPr>
            <w:tcW w:w="602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The mineral supply chain from the extraction sites to the smelters and</w:t>
            </w:r>
          </w:p>
        </w:tc>
      </w:tr>
      <w:tr>
        <w:trPr>
          <w:trHeight w:val="239"/>
        </w:trPr>
        <w:tc>
          <w:tcPr>
            <w:tcW w:w="1920" w:type="dxa"/>
            <w:vAlign w:val="bottom"/>
            <w:tcBorders>
              <w:left w:val="single" w:sz="8" w:color="auto"/>
              <w:right w:val="single" w:sz="8" w:color="auto"/>
            </w:tcBorders>
          </w:tcPr>
          <w:p>
            <w:pPr>
              <w:spacing w:after="0"/>
              <w:rPr>
                <w:sz w:val="20"/>
                <w:szCs w:val="20"/>
                <w:color w:val="auto"/>
              </w:rPr>
            </w:pPr>
          </w:p>
        </w:tc>
        <w:tc>
          <w:tcPr>
            <w:tcW w:w="6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refiners, inclusive.</w:t>
            </w:r>
          </w:p>
        </w:tc>
      </w:tr>
      <w:tr>
        <w:trPr>
          <w:trHeight w:val="23"/>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6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60"/>
          </w:cols>
          <w:pgMar w:left="560" w:top="120" w:right="5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208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20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002052"/>
        </w:rPr>
        <w:t>22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upperLetter"/>
      <w:start w:val="35"/>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2026-05-12T08:53:54Z</dcterms:created>
  <dcterms:modified xsi:type="dcterms:W3CDTF">2026-05-12T08:53:54Z</dcterms:modified>
</cp:coreProperties>
</file>