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240" w:after="60"/>
        <w:jc w:val="left"/>
        <w:rPr>
          <w:bdr w:val="single" w:sz="16" w:space="1" w:color="000000"/>
        </w:rPr>
      </w:pPr>
      <w:bookmarkStart w:id="0" w:name="ss6577307_6k.htm"/>
      <w:bookmarkStart w:id="1" w:name="ksss6577307_6k"/>
      <w:bookmarkEnd w:id="0"/>
      <w:bookmarkEnd w:id="1"/>
      <w:r>
        <w:rPr>
          <w:bdr w:val="single" w:sz="16" w:space="1" w:color="000000"/>
        </w:rPr>
        <w:t> </w:t>
      </w:r>
    </w:p>
    <w:p>
      <w:pPr>
        <w:pStyle w:val="TextBody"/>
        <w:bidi w:val="0"/>
        <w:jc w:val="left"/>
        <w:rPr>
          <w:caps w:val="false"/>
          <w:smallCaps w:val="false"/>
        </w:rPr>
      </w:pPr>
      <w:r>
        <w:rPr>
          <w:caps w:val="false"/>
          <w:smallCaps w:val="false"/>
        </w:rPr>
        <w:t> </w:t>
      </w:r>
    </w:p>
    <w:p>
      <w:pPr>
        <w:pStyle w:val="TextBody"/>
        <w:bidi w:val="0"/>
        <w:spacing w:before="91" w:after="91"/>
        <w:ind w:left="414" w:right="372" w:hanging="0"/>
        <w:jc w:val="center"/>
        <w:rPr>
          <w:rFonts w:ascii="Times New Roman;Times;Serif" w:hAnsi="Times New Roman;Times;Serif"/>
          <w:b/>
          <w:i w:val="false"/>
          <w:caps w:val="false"/>
          <w:smallCaps w:val="false"/>
          <w:color w:val="231F20"/>
          <w:sz w:val="20"/>
        </w:rPr>
      </w:pPr>
      <w:r>
        <w:rPr>
          <w:rFonts w:ascii="Times New Roman;Times;Serif" w:hAnsi="Times New Roman;Times;Serif"/>
          <w:b/>
          <w:i w:val="false"/>
          <w:caps w:val="false"/>
          <w:smallCaps w:val="false"/>
          <w:color w:val="231F20"/>
          <w:spacing w:val="-8"/>
          <w:sz w:val="20"/>
        </w:rPr>
        <w:t xml:space="preserve">UNITED </w:t>
      </w:r>
      <w:r>
        <w:rPr>
          <w:rFonts w:ascii="Times New Roman;Times;Serif" w:hAnsi="Times New Roman;Times;Serif"/>
          <w:b/>
          <w:i w:val="false"/>
          <w:caps w:val="false"/>
          <w:smallCaps w:val="false"/>
          <w:color w:val="231F20"/>
          <w:spacing w:val="-2"/>
          <w:sz w:val="20"/>
        </w:rPr>
        <w:t>STATES</w:t>
      </w:r>
    </w:p>
    <w:p>
      <w:pPr>
        <w:pStyle w:val="TextBody"/>
        <w:bidi w:val="0"/>
        <w:spacing w:before="10" w:after="10"/>
        <w:ind w:left="416" w:right="372" w:hanging="0"/>
        <w:jc w:val="center"/>
        <w:rPr>
          <w:rFonts w:ascii="Times New Roman;Times;Serif" w:hAnsi="Times New Roman;Times;Serif"/>
          <w:b/>
          <w:i w:val="false"/>
          <w:caps w:val="false"/>
          <w:smallCaps w:val="false"/>
          <w:color w:val="231F20"/>
          <w:spacing w:val="-8"/>
          <w:sz w:val="20"/>
        </w:rPr>
      </w:pPr>
      <w:r>
        <w:rPr>
          <w:rFonts w:ascii="Times New Roman;Times;Serif" w:hAnsi="Times New Roman;Times;Serif"/>
          <w:b/>
          <w:i w:val="false"/>
          <w:caps w:val="false"/>
          <w:smallCaps w:val="false"/>
          <w:color w:val="231F20"/>
          <w:spacing w:val="-8"/>
          <w:sz w:val="20"/>
        </w:rPr>
        <w:t>SECURITIES AND EXCHANGE COMMISSION</w:t>
      </w:r>
    </w:p>
    <w:p>
      <w:pPr>
        <w:pStyle w:val="TextBody"/>
        <w:bidi w:val="0"/>
        <w:spacing w:before="10" w:after="10"/>
        <w:ind w:left="422" w:right="372" w:hanging="0"/>
        <w:jc w:val="center"/>
        <w:rPr>
          <w:rFonts w:ascii="Times New Roman;Times;Serif" w:hAnsi="Times New Roman;Times;Serif"/>
          <w:b/>
          <w:i w:val="false"/>
          <w:caps w:val="false"/>
          <w:smallCaps w:val="false"/>
          <w:color w:val="231F20"/>
          <w:spacing w:val="-2"/>
          <w:sz w:val="20"/>
        </w:rPr>
      </w:pPr>
      <w:r>
        <w:rPr>
          <w:rFonts w:ascii="Times New Roman;Times;Serif" w:hAnsi="Times New Roman;Times;Serif"/>
          <w:b/>
          <w:i w:val="false"/>
          <w:caps w:val="false"/>
          <w:smallCaps w:val="false"/>
          <w:color w:val="231F20"/>
          <w:spacing w:val="-2"/>
          <w:sz w:val="20"/>
        </w:rPr>
        <w:t>Washington, D.C. 20549</w:t>
      </w:r>
    </w:p>
    <w:p>
      <w:pPr>
        <w:pStyle w:val="TextBody"/>
        <w:bidi w:val="0"/>
        <w:spacing w:before="10" w:after="10"/>
        <w:ind w:left="10" w:right="10" w:hanging="0"/>
        <w:jc w:val="left"/>
        <w:rPr>
          <w:caps w:val="false"/>
          <w:smallCaps w:val="false"/>
        </w:rPr>
      </w:pPr>
      <w:r>
        <w:rPr>
          <w:caps w:val="false"/>
          <w:smallCaps w:val="false"/>
        </w:rPr>
        <w:t> </w:t>
      </w:r>
    </w:p>
    <w:p>
      <w:pPr>
        <w:pStyle w:val="TextBody"/>
        <w:bidi w:val="0"/>
        <w:spacing w:before="240" w:after="200"/>
        <w:ind w:left="240" w:right="24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FORM 6-K</w:t>
      </w:r>
    </w:p>
    <w:p>
      <w:pPr>
        <w:pStyle w:val="TextBody"/>
        <w:bidi w:val="0"/>
        <w:spacing w:lineRule="auto" w:line="247" w:before="258" w:after="258"/>
        <w:ind w:left="423" w:right="372" w:hanging="0"/>
        <w:jc w:val="center"/>
        <w:rPr>
          <w:rFonts w:ascii="Times New Roman;Times;Serif" w:hAnsi="Times New Roman;Times;Serif"/>
          <w:b w:val="false"/>
          <w:i w:val="false"/>
          <w:caps w:val="false"/>
          <w:smallCaps w:val="false"/>
          <w:color w:val="231F20"/>
          <w:sz w:val="24"/>
        </w:rPr>
      </w:pPr>
      <w:r>
        <w:rPr>
          <w:rFonts w:ascii="Times New Roman;Times;Serif" w:hAnsi="Times New Roman;Times;Serif"/>
          <w:b/>
          <w:i w:val="false"/>
          <w:caps w:val="false"/>
          <w:smallCaps w:val="false"/>
          <w:color w:val="231F20"/>
          <w:spacing w:val="-2"/>
          <w:sz w:val="24"/>
        </w:rPr>
        <w:t xml:space="preserve">REPORT OF FOREIGN PRIVATE ISSUER PURSUANT TO RULE 13a-16 OR 15d-16 UNDER THE </w:t>
      </w:r>
      <w:r>
        <w:rPr>
          <w:rFonts w:ascii="Times New Roman;Times;Serif" w:hAnsi="Times New Roman;Times;Serif"/>
          <w:b/>
          <w:i w:val="false"/>
          <w:caps w:val="false"/>
          <w:smallCaps w:val="false"/>
          <w:color w:val="231F20"/>
          <w:sz w:val="24"/>
        </w:rPr>
        <w:t>SECURITIES EXCHANGE ACT OF 1934</w:t>
      </w:r>
    </w:p>
    <w:p>
      <w:pPr>
        <w:pStyle w:val="TextBody"/>
        <w:bidi w:val="0"/>
        <w:spacing w:before="7" w:after="7"/>
        <w:ind w:left="7" w:right="7" w:hanging="0"/>
        <w:jc w:val="left"/>
        <w:rPr>
          <w:caps w:val="false"/>
          <w:smallCaps w:val="false"/>
        </w:rPr>
      </w:pPr>
      <w:r>
        <w:rPr>
          <w:caps w:val="false"/>
          <w:smallCaps w:val="false"/>
        </w:rPr>
        <w:t> </w:t>
      </w:r>
    </w:p>
    <w:p>
      <w:pPr>
        <w:pStyle w:val="TextBody"/>
        <w:bidi w:val="0"/>
        <w:spacing w:lineRule="auto" w:line="499"/>
        <w:ind w:left="165" w:right="307" w:hanging="0"/>
        <w:jc w:val="center"/>
        <w:rPr>
          <w:rFonts w:ascii="Times New Roman;Times;Serif" w:hAnsi="Times New Roman;Times;Serif"/>
          <w:b/>
          <w:i w:val="false"/>
          <w:caps w:val="false"/>
          <w:smallCaps w:val="false"/>
          <w:color w:val="231F20"/>
          <w:sz w:val="20"/>
        </w:rPr>
      </w:pPr>
      <w:r>
        <w:rPr>
          <w:rFonts w:ascii="Times New Roman;Times;Serif" w:hAnsi="Times New Roman;Times;Serif"/>
          <w:b/>
          <w:i w:val="false"/>
          <w:caps w:val="false"/>
          <w:smallCaps w:val="false"/>
          <w:color w:val="231F20"/>
          <w:sz w:val="20"/>
        </w:rPr>
        <w:t xml:space="preserve">For the month of July, 2026 </w:t>
      </w:r>
    </w:p>
    <w:p>
      <w:pPr>
        <w:pStyle w:val="TextBody"/>
        <w:bidi w:val="0"/>
        <w:spacing w:lineRule="auto" w:line="499"/>
        <w:ind w:left="165" w:right="307" w:hanging="0"/>
        <w:jc w:val="center"/>
        <w:rPr>
          <w:rFonts w:ascii="Times New Roman;Times;Serif" w:hAnsi="Times New Roman;Times;Serif"/>
          <w:b/>
          <w:i w:val="false"/>
          <w:caps w:val="false"/>
          <w:smallCaps w:val="false"/>
          <w:color w:val="231F20"/>
          <w:sz w:val="20"/>
        </w:rPr>
      </w:pPr>
      <w:r>
        <w:rPr>
          <w:rFonts w:ascii="Times New Roman;Times;Serif" w:hAnsi="Times New Roman;Times;Serif"/>
          <w:b/>
          <w:i w:val="false"/>
          <w:caps w:val="false"/>
          <w:smallCaps w:val="false"/>
          <w:color w:val="231F20"/>
          <w:sz w:val="20"/>
        </w:rPr>
        <w:t>Commission File Number: 1-13546</w:t>
      </w:r>
    </w:p>
    <w:p>
      <w:pPr>
        <w:pStyle w:val="TextBody"/>
        <w:bidi w:val="0"/>
        <w:spacing w:lineRule="auto" w:line="499"/>
        <w:ind w:left="165" w:right="307" w:hanging="0"/>
        <w:jc w:val="center"/>
        <w:rPr>
          <w:caps w:val="false"/>
          <w:smallCaps w:val="false"/>
        </w:rPr>
      </w:pPr>
      <w:r>
        <w:rPr>
          <w:caps w:val="false"/>
          <w:smallCaps w:val="false"/>
        </w:rPr>
        <w:t> </w:t>
      </w:r>
    </w:p>
    <w:p>
      <w:pPr>
        <w:pStyle w:val="TextBody"/>
        <w:bidi w:val="0"/>
        <w:spacing w:before="5" w:after="5"/>
        <w:ind w:left="5" w:right="5"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STMicroelectronics N.V.</w:t>
      </w:r>
    </w:p>
    <w:p>
      <w:pPr>
        <w:pStyle w:val="TextBody"/>
        <w:bidi w:val="0"/>
        <w:spacing w:before="5" w:after="5"/>
        <w:ind w:left="5" w:right="5" w:hanging="0"/>
        <w:jc w:val="left"/>
        <w:rPr>
          <w:caps w:val="false"/>
          <w:smallCaps w:val="false"/>
        </w:rPr>
      </w:pPr>
      <w:r>
        <w:rPr>
          <w:caps w:val="false"/>
          <w:smallCaps w:val="false"/>
        </w:rPr>
        <w:t> </w:t>
      </w:r>
    </w:p>
    <w:p>
      <w:pPr>
        <w:pStyle w:val="TextBody"/>
        <w:bidi w:val="0"/>
        <w:spacing w:before="60" w:after="60"/>
        <w:jc w:val="left"/>
        <w:rPr>
          <w:bdr w:val="single" w:sz="8" w:space="1" w:color="000000"/>
        </w:rPr>
      </w:pPr>
      <w:r>
        <w:rPr>
          <w:bdr w:val="single" w:sz="8" w:space="1" w:color="000000"/>
        </w:rPr>
        <w:t> </w:t>
      </w:r>
    </w:p>
    <w:p>
      <w:pPr>
        <w:pStyle w:val="TextBody"/>
        <w:bidi w:val="0"/>
        <w:spacing w:before="0" w:after="283"/>
        <w:jc w:val="left"/>
        <w:rPr/>
      </w:pPr>
      <w:r>
        <w:rPr/>
        <w:t> </w:t>
      </w:r>
    </w:p>
    <w:p>
      <w:pPr>
        <w:pStyle w:val="TextBody"/>
        <w:bidi w:val="0"/>
        <w:spacing w:before="10" w:after="10"/>
        <w:ind w:left="421" w:right="372" w:hanging="0"/>
        <w:jc w:val="center"/>
        <w:rPr>
          <w:rFonts w:ascii="Times New Roman;Times;Serif" w:hAnsi="Times New Roman;Times;Serif"/>
          <w:b w:val="false"/>
          <w:i w:val="false"/>
          <w:caps w:val="false"/>
          <w:smallCaps w:val="false"/>
          <w:color w:val="231F20"/>
          <w:spacing w:val="-2"/>
          <w:sz w:val="20"/>
        </w:rPr>
      </w:pPr>
      <w:r>
        <w:rPr>
          <w:rFonts w:ascii="Times New Roman;Times;Serif" w:hAnsi="Times New Roman;Times;Serif"/>
          <w:b w:val="false"/>
          <w:i w:val="false"/>
          <w:caps w:val="false"/>
          <w:smallCaps w:val="false"/>
          <w:color w:val="231F20"/>
          <w:spacing w:val="-2"/>
          <w:sz w:val="20"/>
        </w:rPr>
        <w:t>(Name of Registrant)</w:t>
      </w:r>
    </w:p>
    <w:p>
      <w:pPr>
        <w:pStyle w:val="TextBody"/>
        <w:bidi w:val="0"/>
        <w:jc w:val="left"/>
        <w:rPr>
          <w:caps w:val="false"/>
          <w:smallCaps w:val="false"/>
        </w:rPr>
      </w:pPr>
      <w:r>
        <w:rPr>
          <w:caps w:val="false"/>
          <w:smallCaps w:val="false"/>
        </w:rPr>
        <w:t> </w:t>
      </w:r>
    </w:p>
    <w:p>
      <w:pPr>
        <w:pStyle w:val="TextBody"/>
        <w:bidi w:val="0"/>
        <w:spacing w:before="240" w:after="240"/>
        <w:ind w:left="240" w:right="240" w:hanging="0"/>
        <w:jc w:val="center"/>
        <w:rPr>
          <w:rFonts w:ascii="Times New Roman;Times;Serif" w:hAnsi="Times New Roman;Times;Serif"/>
          <w:b w:val="false"/>
          <w:i w:val="false"/>
          <w:caps w:val="false"/>
          <w:smallCaps w:val="false"/>
          <w:sz w:val="22"/>
        </w:rPr>
      </w:pPr>
      <w:r>
        <w:rPr>
          <w:rFonts w:ascii="Times New Roman;Times;Serif" w:hAnsi="Times New Roman;Times;Serif"/>
          <w:b w:val="false"/>
          <w:i w:val="false"/>
          <w:caps w:val="false"/>
          <w:smallCaps w:val="false"/>
          <w:sz w:val="22"/>
        </w:rPr>
        <w:t>WTC Schiphol Airport</w:t>
        <w:br/>
        <w:t>Schiphol Boulevard 265</w:t>
        <w:br/>
        <w:t>1118 BH Schiphol Airport</w:t>
        <w:br/>
        <w:t>The Netherlands</w:t>
      </w:r>
    </w:p>
    <w:p>
      <w:pPr>
        <w:pStyle w:val="TextBody"/>
        <w:bidi w:val="0"/>
        <w:spacing w:before="5" w:after="5"/>
        <w:ind w:left="5" w:right="5" w:hanging="0"/>
        <w:jc w:val="left"/>
        <w:rPr>
          <w:caps w:val="false"/>
          <w:smallCaps w:val="false"/>
        </w:rPr>
      </w:pPr>
      <w:r>
        <w:rPr>
          <w:caps w:val="false"/>
          <w:smallCaps w:val="false"/>
        </w:rPr>
        <w:t> </w:t>
      </w:r>
    </w:p>
    <w:p>
      <w:pPr>
        <w:pStyle w:val="TextBody"/>
        <w:bidi w:val="0"/>
        <w:spacing w:before="60" w:after="60"/>
        <w:jc w:val="left"/>
        <w:rPr>
          <w:bdr w:val="single" w:sz="8" w:space="1" w:color="000000"/>
        </w:rPr>
      </w:pPr>
      <w:r>
        <w:rPr>
          <w:bdr w:val="single" w:sz="8" w:space="1" w:color="000000"/>
        </w:rPr>
        <w:t> </w:t>
      </w:r>
    </w:p>
    <w:p>
      <w:pPr>
        <w:pStyle w:val="TextBody"/>
        <w:bidi w:val="0"/>
        <w:spacing w:before="0" w:after="283"/>
        <w:jc w:val="left"/>
        <w:rPr/>
      </w:pPr>
      <w:r>
        <w:rPr/>
        <w:t> </w:t>
      </w:r>
    </w:p>
    <w:p>
      <w:pPr>
        <w:pStyle w:val="TextBody"/>
        <w:bidi w:val="0"/>
        <w:spacing w:before="10" w:after="10"/>
        <w:ind w:left="421" w:right="372" w:hanging="0"/>
        <w:jc w:val="center"/>
        <w:rPr>
          <w:rFonts w:ascii="Times New Roman;Times;Serif" w:hAnsi="Times New Roman;Times;Serif"/>
          <w:b w:val="false"/>
          <w:i w:val="false"/>
          <w:caps w:val="false"/>
          <w:smallCaps w:val="false"/>
          <w:color w:val="231F20"/>
          <w:spacing w:val="-2"/>
          <w:sz w:val="20"/>
        </w:rPr>
      </w:pPr>
      <w:r>
        <w:rPr>
          <w:rFonts w:ascii="Times New Roman;Times;Serif" w:hAnsi="Times New Roman;Times;Serif"/>
          <w:b w:val="false"/>
          <w:i w:val="false"/>
          <w:caps w:val="false"/>
          <w:smallCaps w:val="false"/>
          <w:color w:val="231F20"/>
          <w:spacing w:val="-2"/>
          <w:sz w:val="20"/>
        </w:rPr>
        <w:t>(Address of Principal Executive Offices)</w:t>
      </w:r>
    </w:p>
    <w:p>
      <w:pPr>
        <w:pStyle w:val="TextBody"/>
        <w:bidi w:val="0"/>
        <w:spacing w:before="4" w:after="4"/>
        <w:ind w:left="4" w:right="4" w:hanging="0"/>
        <w:jc w:val="left"/>
        <w:rPr>
          <w:caps w:val="false"/>
          <w:smallCaps w:val="false"/>
        </w:rPr>
      </w:pPr>
      <w:r>
        <w:rPr>
          <w:caps w:val="false"/>
          <w:smallCaps w:val="false"/>
        </w:rPr>
        <w:t> </w:t>
      </w:r>
    </w:p>
    <w:p>
      <w:pPr>
        <w:pStyle w:val="TextBody"/>
        <w:bidi w:val="0"/>
        <w:spacing w:before="0" w:after="240"/>
        <w:ind w:left="142" w:right="0" w:hanging="0"/>
        <w:jc w:val="both"/>
        <w:rPr>
          <w:caps w:val="false"/>
          <w:smallCaps w:val="false"/>
        </w:rPr>
      </w:pPr>
      <w:r>
        <w:rPr>
          <w:caps w:val="false"/>
          <w:smallCaps w:val="false"/>
        </w:rPr>
        <w:t> </w:t>
      </w:r>
    </w:p>
    <w:p>
      <w:pPr>
        <w:pStyle w:val="TextBody"/>
        <w:bidi w:val="0"/>
        <w:spacing w:before="0" w:after="240"/>
        <w:ind w:left="142"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files or will file annual reports under cover of Form 20-F or Form 40-F:</w:t>
      </w:r>
    </w:p>
    <w:p>
      <w:pPr>
        <w:pStyle w:val="TextBody"/>
        <w:bidi w:val="0"/>
        <w:spacing w:before="0" w:after="20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Form 20-F </w:t>
      </w:r>
      <w:r>
        <w:rPr>
          <w:rFonts w:ascii="Wingdings" w:hAnsi="Wingdings"/>
          <w:b w:val="false"/>
          <w:i w:val="false"/>
          <w:caps w:val="false"/>
          <w:smallCaps w:val="false"/>
          <w:sz w:val="24"/>
        </w:rPr>
        <w:t>x</w:t>
      </w:r>
      <w:r>
        <w:rPr>
          <w:rFonts w:ascii="Times New Roman;Times;Serif" w:hAnsi="Times New Roman;Times;Serif"/>
          <w:b w:val="false"/>
          <w:i w:val="false"/>
          <w:caps w:val="false"/>
          <w:smallCaps w:val="false"/>
          <w:sz w:val="20"/>
        </w:rPr>
        <w:tab/>
        <w:t xml:space="preserve">Form 40-F </w:t>
      </w:r>
      <w:r>
        <w:rPr>
          <w:rFonts w:ascii="Wingdings" w:hAnsi="Wingdings"/>
          <w:b w:val="false"/>
          <w:i w:val="false"/>
          <w:caps w:val="false"/>
          <w:smallCaps w:val="false"/>
          <w:sz w:val="24"/>
        </w:rPr>
        <w:t>o</w:t>
      </w:r>
    </w:p>
    <w:p>
      <w:pPr>
        <w:pStyle w:val="TextBody"/>
        <w:bidi w:val="0"/>
        <w:jc w:val="left"/>
        <w:rPr>
          <w:caps w:val="false"/>
          <w:smallCaps w:val="false"/>
        </w:rPr>
      </w:pPr>
      <w:r>
        <w:rPr>
          <w:caps w:val="false"/>
          <w:smallCaps w:val="false"/>
        </w:rPr>
        <w:t> </w:t>
      </w:r>
    </w:p>
    <w:p>
      <w:pPr>
        <w:pStyle w:val="TextBody"/>
        <w:bidi w:val="0"/>
        <w:spacing w:before="0" w:after="200"/>
        <w:jc w:val="both"/>
        <w:rPr>
          <w:caps w:val="false"/>
          <w:smallCaps w:val="false"/>
        </w:rPr>
      </w:pPr>
      <w:r>
        <w:rPr>
          <w:caps w:val="false"/>
          <w:smallCaps w:val="false"/>
        </w:rPr>
        <w:t> </w:t>
      </w:r>
    </w:p>
    <w:p>
      <w:pPr>
        <w:pStyle w:val="TextBody"/>
        <w:bidi w:val="0"/>
        <w:spacing w:before="0" w:after="200"/>
        <w:ind w:left="142"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Enclosure: A press release dated July 13, 2026, announcing the results of trading in STMicroelectronics' own shares as part of the previously announced share buy-back program for the period from July 6, 2026, to July 10, 2026.</w:t>
      </w:r>
    </w:p>
    <w:p>
      <w:pPr>
        <w:pStyle w:val="TextBody"/>
        <w:bidi w:val="0"/>
        <w:spacing w:before="60" w:after="240"/>
        <w:jc w:val="left"/>
        <w:rPr>
          <w:bdr w:val="single" w:sz="8" w:space="1" w:color="000000"/>
        </w:rPr>
      </w:pPr>
      <w:r>
        <w:rPr>
          <w:bdr w:val="single" w:sz="8" w:space="1" w:color="000000"/>
        </w:rPr>
        <w:t> </w:t>
      </w:r>
    </w:p>
    <w:p>
      <w:pPr>
        <w:pStyle w:val="TextBody"/>
        <w:bidi w:val="0"/>
        <w:jc w:val="left"/>
        <w:rPr>
          <w:caps w:val="false"/>
          <w:smallCaps w:val="false"/>
        </w:rPr>
      </w:pPr>
      <w:r>
        <w:rPr>
          <w:caps w:val="false"/>
          <w:smallCaps w:val="false"/>
        </w:rPr>
        <w:t> </w:t>
      </w:r>
    </w:p>
    <w:tbl>
      <w:tblPr>
        <w:tblW w:w="210" w:type="dxa"/>
        <w:jc w:val="left"/>
        <w:tblInd w:w="0" w:type="dxa"/>
        <w:tblLayout w:type="fixed"/>
        <w:tblCellMar>
          <w:top w:w="0" w:type="dxa"/>
          <w:left w:w="0" w:type="dxa"/>
          <w:bottom w:w="0" w:type="dxa"/>
          <w:right w:w="0" w:type="dxa"/>
        </w:tblCellMar>
      </w:tblPr>
      <w:tblGrid>
        <w:gridCol w:w="75"/>
        <w:gridCol w:w="60"/>
        <w:gridCol w:w="75"/>
      </w:tblGrid>
      <w:tr>
        <w:trPr/>
        <w:tc>
          <w:tcPr>
            <w:tcW w:w="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center"/>
              <w:rPr/>
            </w:pPr>
            <w:r>
              <w:rPr/>
              <w:t> </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jc w:val="left"/>
        <w:rPr>
          <w:caps w:val="false"/>
          <w:smallCaps w:val="false"/>
        </w:rPr>
      </w:pPr>
      <w:r>
        <w:rPr>
          <w:caps w:val="false"/>
          <w:smallCaps w:val="false"/>
        </w:rPr>
        <w:drawing>
          <wp:inline distT="0" distB="0" distL="0" distR="0">
            <wp:extent cx="8620125" cy="18954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8620125" cy="1895475"/>
                    </a:xfrm>
                    <a:prstGeom prst="rect">
                      <a:avLst/>
                    </a:prstGeom>
                  </pic:spPr>
                </pic:pic>
              </a:graphicData>
            </a:graphic>
          </wp:inline>
        </w:drawing>
      </w:r>
    </w:p>
    <w:p>
      <w:pPr>
        <w:pStyle w:val="TextBody"/>
        <w:bidi w:val="0"/>
        <w:jc w:val="both"/>
        <w:rPr>
          <w:caps w:val="false"/>
          <w:smallCaps w:val="false"/>
        </w:rPr>
      </w:pPr>
      <w:r>
        <w:rPr>
          <w:caps w:val="false"/>
          <w:smallCaps w:val="false"/>
        </w:rPr>
        <w:t> </w:t>
      </w:r>
    </w:p>
    <w:p>
      <w:pPr>
        <w:pStyle w:val="TextBody"/>
        <w:bidi w:val="0"/>
        <w:jc w:val="both"/>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PR N°C3401C</w:t>
      </w:r>
    </w:p>
    <w:p>
      <w:pPr>
        <w:pStyle w:val="TextBody"/>
        <w:bidi w:val="0"/>
        <w:jc w:val="center"/>
        <w:rPr>
          <w:caps w:val="false"/>
          <w:smallCaps w:val="false"/>
        </w:rPr>
      </w:pPr>
      <w:r>
        <w:rPr>
          <w:caps w:val="false"/>
          <w:smallCaps w:val="false"/>
        </w:rPr>
        <w:t> </w:t>
      </w:r>
    </w:p>
    <w:p>
      <w:pPr>
        <w:pStyle w:val="TextBody"/>
        <w:bidi w:val="0"/>
        <w:jc w:val="center"/>
        <w:rPr>
          <w:rFonts w:ascii="Arial;Helvetica;Sans-Serif" w:hAnsi="Arial;Helvetica;Sans-Serif"/>
          <w:b/>
          <w:i w:val="false"/>
          <w:caps w:val="false"/>
          <w:smallCaps w:val="false"/>
          <w:sz w:val="28"/>
        </w:rPr>
      </w:pPr>
      <w:r>
        <w:rPr>
          <w:rFonts w:ascii="Arial;Helvetica;Sans-Serif" w:hAnsi="Arial;Helvetica;Sans-Serif"/>
          <w:b/>
          <w:i w:val="false"/>
          <w:caps w:val="false"/>
          <w:smallCaps w:val="false"/>
          <w:sz w:val="28"/>
        </w:rPr>
        <w:t>STMicroelectronics announces status of</w:t>
        <w:br/>
        <w:t>common share repurchase program</w:t>
      </w:r>
    </w:p>
    <w:p>
      <w:pPr>
        <w:pStyle w:val="TextBody"/>
        <w:bidi w:val="0"/>
        <w:jc w:val="center"/>
        <w:rPr>
          <w:caps w:val="false"/>
          <w:smallCaps w:val="false"/>
        </w:rPr>
      </w:pPr>
      <w:r>
        <w:rPr>
          <w:caps w:val="false"/>
          <w:smallCaps w:val="false"/>
        </w:rPr>
        <w:t> </w:t>
      </w:r>
    </w:p>
    <w:p>
      <w:pPr>
        <w:pStyle w:val="TextBody"/>
        <w:bidi w:val="0"/>
        <w:jc w:val="center"/>
        <w:rPr>
          <w:rFonts w:ascii="Arial;Helvetica;Sans-Serif" w:hAnsi="Arial;Helvetica;Sans-Serif"/>
          <w:b/>
          <w:i/>
          <w:caps w:val="false"/>
          <w:smallCaps w:val="false"/>
          <w:sz w:val="20"/>
        </w:rPr>
      </w:pPr>
      <w:r>
        <w:rPr>
          <w:rFonts w:ascii="Arial;Helvetica;Sans-Serif" w:hAnsi="Arial;Helvetica;Sans-Serif"/>
          <w:b/>
          <w:i/>
          <w:caps w:val="false"/>
          <w:smallCaps w:val="false"/>
          <w:sz w:val="20"/>
        </w:rPr>
        <w:t>Disclosure of Transactions in Own Shares – Period from July 06, 2026 to July 10, 2026</w:t>
      </w:r>
    </w:p>
    <w:p>
      <w:pPr>
        <w:pStyle w:val="TextBody"/>
        <w:bidi w:val="0"/>
        <w:jc w:val="center"/>
        <w:rPr>
          <w:caps w:val="false"/>
          <w:smallCaps w:val="false"/>
        </w:rPr>
      </w:pPr>
      <w:r>
        <w:rPr>
          <w:caps w:val="false"/>
          <w:smallCaps w:val="false"/>
        </w:rPr>
        <w:t> </w:t>
      </w:r>
    </w:p>
    <w:p>
      <w:pPr>
        <w:pStyle w:val="TextBody"/>
        <w:bidi w:val="0"/>
        <w:jc w:val="center"/>
        <w:rPr>
          <w:caps w:val="false"/>
          <w:smallCaps w:val="false"/>
        </w:rPr>
      </w:pPr>
      <w:r>
        <w:rPr>
          <w:caps w:val="false"/>
          <w:smallCaps w:val="false"/>
        </w:rPr>
        <w:t> </w:t>
      </w:r>
    </w:p>
    <w:p>
      <w:pPr>
        <w:pStyle w:val="TextBody"/>
        <w:bidi w:val="0"/>
        <w:jc w:val="both"/>
        <w:rPr>
          <w:rFonts w:ascii="Arial;Helvetica;Sans-Serif" w:hAnsi="Arial;Helvetica;Sans-Serif"/>
          <w:b w:val="false"/>
          <w:i w:val="false"/>
          <w:caps w:val="false"/>
          <w:smallCaps w:val="false"/>
          <w:sz w:val="24"/>
        </w:rPr>
      </w:pPr>
      <w:r>
        <w:rPr>
          <w:rFonts w:ascii="Arial;Helvetica;Sans-Serif" w:hAnsi="Arial;Helvetica;Sans-Serif"/>
          <w:b/>
          <w:i w:val="false"/>
          <w:caps w:val="false"/>
          <w:smallCaps w:val="false"/>
          <w:sz w:val="24"/>
        </w:rPr>
        <w:t>AMSTERDAM – July 13, 2026</w:t>
      </w:r>
      <w:r>
        <w:rPr>
          <w:rFonts w:ascii="Arial;Helvetica;Sans-Serif" w:hAnsi="Arial;Helvetica;Sans-Serif"/>
          <w:b w:val="false"/>
          <w:i w:val="false"/>
          <w:caps w:val="false"/>
          <w:smallCaps w:val="false"/>
          <w:sz w:val="24"/>
        </w:rPr>
        <w:t xml:space="preserve"> -- STMicroelectronics N.V. (the “Company” or “STMicroelectronics”), a global semiconductor leader serving customers across the spectrum of electronics applications, announces full details of its common share repurchase program (the “Program”) disclosed via a press release dated June 21, 2024. The Program was approved by a shareholder resolution dated May 22, 2024 and by the supervisory board.</w:t>
      </w:r>
    </w:p>
    <w:p>
      <w:pPr>
        <w:pStyle w:val="TextBody"/>
        <w:bidi w:val="0"/>
        <w:jc w:val="both"/>
        <w:rPr>
          <w:caps w:val="false"/>
          <w:smallCaps w:val="false"/>
        </w:rPr>
      </w:pPr>
      <w:r>
        <w:rPr>
          <w:caps w:val="false"/>
          <w:smallCaps w:val="false"/>
        </w:rPr>
        <w:t> </w:t>
      </w:r>
    </w:p>
    <w:p>
      <w:pPr>
        <w:pStyle w:val="TextBody"/>
        <w:bidi w:val="0"/>
        <w:spacing w:before="0" w:after="240"/>
        <w:jc w:val="both"/>
        <w:rPr>
          <w:rFonts w:ascii="Arial;Helvetica;Sans-Serif" w:hAnsi="Arial;Helvetica;Sans-Serif"/>
          <w:b w:val="false"/>
          <w:i w:val="false"/>
          <w:caps w:val="false"/>
          <w:smallCaps w:val="false"/>
          <w:sz w:val="24"/>
        </w:rPr>
      </w:pPr>
      <w:r>
        <w:rPr>
          <w:rFonts w:ascii="Arial;Helvetica;Sans-Serif" w:hAnsi="Arial;Helvetica;Sans-Serif"/>
          <w:b w:val="false"/>
          <w:i w:val="false"/>
          <w:caps w:val="false"/>
          <w:smallCaps w:val="false"/>
          <w:sz w:val="24"/>
        </w:rPr>
        <w:t>STMicroelectronics N.V. (registered with the trade register under number 33194537) (LEI: 213800Z8NOHIKRI42W10) announces the repurchase (by a broker acting for the Company) on the regulated market of Euronext Paris, in the period between July 06, 2026 to July 10, 2026 (the “Period”), of 96,195 ordinary shares (equal to 0.01% of its issued share capital) at the weighted average purchase price per share of EUR 60.2676 and for an overall price of EUR 5,797,437.03.</w:t>
      </w:r>
    </w:p>
    <w:p>
      <w:pPr>
        <w:pStyle w:val="TextBody"/>
        <w:bidi w:val="0"/>
        <w:spacing w:before="0" w:after="240"/>
        <w:jc w:val="both"/>
        <w:rPr>
          <w:rFonts w:ascii="Arial;Helvetica;Sans-Serif" w:hAnsi="Arial;Helvetica;Sans-Serif"/>
          <w:b w:val="false"/>
          <w:i w:val="false"/>
          <w:caps w:val="false"/>
          <w:smallCaps w:val="false"/>
          <w:sz w:val="24"/>
        </w:rPr>
      </w:pPr>
      <w:r>
        <w:rPr>
          <w:rFonts w:ascii="Arial;Helvetica;Sans-Serif" w:hAnsi="Arial;Helvetica;Sans-Serif"/>
          <w:b w:val="false"/>
          <w:i w:val="false"/>
          <w:caps w:val="false"/>
          <w:smallCaps w:val="false"/>
          <w:sz w:val="24"/>
        </w:rPr>
        <w:t>The purpose of these transactions under article 5(2) of Regulation (EU) 596/2014 (the Market Abuse Regulation) was to meet obligations arising from share option programmes, or other allocations of shares, to employees or to members of the administrative, management or supervisory bodies of the issuer or of an associate company.</w:t>
      </w:r>
    </w:p>
    <w:p>
      <w:pPr>
        <w:pStyle w:val="TextBody"/>
        <w:bidi w:val="0"/>
        <w:spacing w:before="0" w:after="240"/>
        <w:jc w:val="both"/>
        <w:rPr>
          <w:rFonts w:ascii="Arial;Helvetica;Sans-Serif" w:hAnsi="Arial;Helvetica;Sans-Serif"/>
          <w:b w:val="false"/>
          <w:i w:val="false"/>
          <w:caps w:val="false"/>
          <w:smallCaps w:val="false"/>
          <w:sz w:val="24"/>
        </w:rPr>
      </w:pPr>
      <w:r>
        <w:rPr>
          <w:rFonts w:ascii="Arial;Helvetica;Sans-Serif" w:hAnsi="Arial;Helvetica;Sans-Serif"/>
          <w:b w:val="false"/>
          <w:i w:val="false"/>
          <w:caps w:val="false"/>
          <w:smallCaps w:val="false"/>
          <w:sz w:val="24"/>
        </w:rPr>
        <w:t>The shares may be held in treasury prior to being used for such purpose and, to the extent that they are not ultimately needed for such purpose, they may be used for any other lawful purpose under article 5(2) of the Market Abuse Regulation.</w:t>
      </w:r>
    </w:p>
    <w:p>
      <w:pPr>
        <w:pStyle w:val="TextBody"/>
        <w:bidi w:val="0"/>
        <w:spacing w:before="0" w:after="240"/>
        <w:jc w:val="both"/>
        <w:rPr>
          <w:rFonts w:ascii="Arial;Helvetica;Sans-Serif" w:hAnsi="Arial;Helvetica;Sans-Serif"/>
          <w:b w:val="false"/>
          <w:i w:val="false"/>
          <w:caps w:val="false"/>
          <w:smallCaps w:val="false"/>
          <w:sz w:val="24"/>
        </w:rPr>
      </w:pPr>
      <w:r>
        <w:rPr>
          <w:rFonts w:ascii="Arial;Helvetica;Sans-Serif" w:hAnsi="Arial;Helvetica;Sans-Serif"/>
          <w:b w:val="false"/>
          <w:i w:val="false"/>
          <w:caps w:val="false"/>
          <w:smallCaps w:val="false"/>
          <w:sz w:val="24"/>
        </w:rPr>
        <w:t>Below is a summary of the repurchase transactions made in the course of the Period in relation to the ordinary shares of STMicroelectronics (ISIN: NL0000226223), in detailed form.</w:t>
      </w:r>
    </w:p>
    <w:p>
      <w:pPr>
        <w:pStyle w:val="TextBody"/>
        <w:bidi w:val="0"/>
        <w:spacing w:before="0" w:after="240"/>
        <w:jc w:val="both"/>
        <w:rPr>
          <w:caps w:val="false"/>
          <w:smallCaps w:val="false"/>
        </w:rPr>
      </w:pPr>
      <w:r>
        <w:rPr>
          <w:caps w:val="false"/>
          <w:smallCaps w:val="false"/>
        </w:rPr>
        <w:t> </w:t>
      </w:r>
    </w:p>
    <w:p>
      <w:pPr>
        <w:pStyle w:val="TextBody"/>
        <w:bidi w:val="0"/>
        <w:spacing w:before="0" w:after="240"/>
        <w:jc w:val="both"/>
        <w:rPr>
          <w:caps w:val="false"/>
          <w:smallCaps w:val="false"/>
        </w:rPr>
      </w:pPr>
      <w:r>
        <w:rPr>
          <w:caps w:val="false"/>
          <w:smallCaps w:val="false"/>
        </w:rPr>
        <w:t> </w:t>
      </w:r>
    </w:p>
    <w:p>
      <w:pPr>
        <w:pStyle w:val="TextBody"/>
        <w:bidi w:val="0"/>
        <w:spacing w:before="0" w:after="240"/>
        <w:jc w:val="both"/>
        <w:rPr>
          <w:caps w:val="false"/>
          <w:smallCaps w:val="false"/>
        </w:rPr>
      </w:pPr>
      <w:r>
        <w:rPr>
          <w:caps w:val="false"/>
          <w:smallCaps w:val="false"/>
        </w:rPr>
        <w:t> </w:t>
      </w:r>
    </w:p>
    <w:p>
      <w:pPr>
        <w:pStyle w:val="TextBody"/>
        <w:bidi w:val="0"/>
        <w:spacing w:before="0" w:after="240"/>
        <w:jc w:val="both"/>
        <w:rPr>
          <w:caps w:val="false"/>
          <w:smallCaps w:val="false"/>
        </w:rPr>
      </w:pPr>
      <w:r>
        <w:rPr>
          <w:caps w:val="false"/>
          <w:smallCaps w:val="false"/>
        </w:rPr>
        <w:t> </w:t>
      </w:r>
    </w:p>
    <w:tbl>
      <w:tblPr>
        <w:tblW w:w="210" w:type="dxa"/>
        <w:jc w:val="left"/>
        <w:tblInd w:w="0" w:type="dxa"/>
        <w:tblLayout w:type="fixed"/>
        <w:tblCellMar>
          <w:top w:w="0" w:type="dxa"/>
          <w:left w:w="0" w:type="dxa"/>
          <w:bottom w:w="0" w:type="dxa"/>
          <w:right w:w="0" w:type="dxa"/>
        </w:tblCellMar>
      </w:tblPr>
      <w:tblGrid>
        <w:gridCol w:w="75"/>
        <w:gridCol w:w="60"/>
        <w:gridCol w:w="75"/>
      </w:tblGrid>
      <w:tr>
        <w:trPr/>
        <w:tc>
          <w:tcPr>
            <w:tcW w:w="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center"/>
              <w:rPr/>
            </w:pPr>
            <w:r>
              <w:rPr/>
              <w:t> </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240"/>
        <w:jc w:val="both"/>
        <w:rPr>
          <w:caps w:val="false"/>
          <w:smallCaps w:val="false"/>
        </w:rPr>
      </w:pPr>
      <w:r>
        <w:rPr>
          <w:caps w:val="false"/>
          <w:smallCaps w:val="false"/>
        </w:rPr>
        <w:t> </w:t>
      </w:r>
    </w:p>
    <w:p>
      <w:pPr>
        <w:pStyle w:val="TextBody"/>
        <w:bidi w:val="0"/>
        <w:spacing w:before="0" w:after="120"/>
        <w:jc w:val="both"/>
        <w:rPr>
          <w:rFonts w:ascii="Arial;Helvetica;Sans-Serif" w:hAnsi="Arial;Helvetica;Sans-Serif"/>
          <w:b/>
          <w:i w:val="false"/>
          <w:caps w:val="false"/>
          <w:smallCaps w:val="false"/>
          <w:sz w:val="24"/>
        </w:rPr>
      </w:pPr>
      <w:r>
        <w:rPr>
          <w:rFonts w:ascii="Arial;Helvetica;Sans-Serif" w:hAnsi="Arial;Helvetica;Sans-Serif"/>
          <w:b/>
          <w:i w:val="false"/>
          <w:caps w:val="false"/>
          <w:smallCaps w:val="false"/>
          <w:sz w:val="24"/>
        </w:rPr>
        <w:t>Transactions in Period</w:t>
      </w:r>
    </w:p>
    <w:tbl>
      <w:tblPr>
        <w:tblW w:w="10205" w:type="dxa"/>
        <w:jc w:val="left"/>
        <w:tblInd w:w="-10" w:type="dxa"/>
        <w:tblLayout w:type="fixed"/>
        <w:tblCellMar>
          <w:top w:w="28" w:type="dxa"/>
          <w:left w:w="108" w:type="dxa"/>
          <w:bottom w:w="240" w:type="dxa"/>
          <w:right w:w="108" w:type="dxa"/>
        </w:tblCellMar>
      </w:tblPr>
      <w:tblGrid>
        <w:gridCol w:w="1623"/>
        <w:gridCol w:w="1874"/>
        <w:gridCol w:w="2473"/>
        <w:gridCol w:w="1871"/>
        <w:gridCol w:w="2364"/>
      </w:tblGrid>
      <w:tr>
        <w:trPr/>
        <w:tc>
          <w:tcPr>
            <w:tcW w:w="1623" w:type="dxa"/>
            <w:tcBorders>
              <w:top w:val="single" w:sz="8" w:space="0" w:color="000000"/>
              <w:left w:val="single" w:sz="8" w:space="0" w:color="000000"/>
              <w:bottom w:val="single" w:sz="8" w:space="0" w:color="000000"/>
              <w:right w:val="single" w:sz="8" w:space="0" w:color="000000"/>
            </w:tcBorders>
            <w:shd w:fill="F2F2F2" w:val="clear"/>
            <w:vAlign w:val="center"/>
          </w:tcPr>
          <w:p>
            <w:pPr>
              <w:pStyle w:val="TableContents"/>
              <w:bidi w:val="0"/>
              <w:spacing w:before="0" w:after="283"/>
              <w:jc w:val="center"/>
              <w:rPr>
                <w:rFonts w:ascii="Arial;Helvetica;Sans-Serif" w:hAnsi="Arial;Helvetica;Sans-Serif"/>
                <w:b/>
                <w:sz w:val="24"/>
              </w:rPr>
            </w:pPr>
            <w:r>
              <w:rPr>
                <w:rFonts w:ascii="Arial;Helvetica;Sans-Serif" w:hAnsi="Arial;Helvetica;Sans-Serif"/>
                <w:b/>
                <w:sz w:val="24"/>
              </w:rPr>
              <w:t>Dates of transaction</w:t>
            </w:r>
          </w:p>
        </w:tc>
        <w:tc>
          <w:tcPr>
            <w:tcW w:w="1874" w:type="dxa"/>
            <w:tcBorders>
              <w:top w:val="single" w:sz="8" w:space="0" w:color="000000"/>
              <w:bottom w:val="single" w:sz="8" w:space="0" w:color="000000"/>
              <w:right w:val="single" w:sz="8" w:space="0" w:color="000000"/>
            </w:tcBorders>
            <w:shd w:fill="F2F2F2" w:val="clear"/>
            <w:tcMar>
              <w:left w:w="0" w:type="dxa"/>
            </w:tcMar>
            <w:vAlign w:val="center"/>
          </w:tcPr>
          <w:p>
            <w:pPr>
              <w:pStyle w:val="TableContents"/>
              <w:bidi w:val="0"/>
              <w:spacing w:before="0" w:after="283"/>
              <w:jc w:val="center"/>
              <w:rPr>
                <w:rFonts w:ascii="Arial;Helvetica;Sans-Serif" w:hAnsi="Arial;Helvetica;Sans-Serif"/>
                <w:b/>
                <w:sz w:val="24"/>
              </w:rPr>
            </w:pPr>
            <w:r>
              <w:rPr>
                <w:rFonts w:ascii="Arial;Helvetica;Sans-Serif" w:hAnsi="Arial;Helvetica;Sans-Serif"/>
                <w:b/>
                <w:sz w:val="24"/>
              </w:rPr>
              <w:t>Number of shares purchased</w:t>
            </w:r>
          </w:p>
        </w:tc>
        <w:tc>
          <w:tcPr>
            <w:tcW w:w="2473" w:type="dxa"/>
            <w:tcBorders>
              <w:top w:val="single" w:sz="8" w:space="0" w:color="000000"/>
              <w:bottom w:val="single" w:sz="8" w:space="0" w:color="000000"/>
              <w:right w:val="single" w:sz="8" w:space="0" w:color="000000"/>
            </w:tcBorders>
            <w:shd w:fill="F2F2F2" w:val="clear"/>
            <w:tcMar>
              <w:left w:w="0" w:type="dxa"/>
            </w:tcMar>
            <w:vAlign w:val="center"/>
          </w:tcPr>
          <w:p>
            <w:pPr>
              <w:pStyle w:val="TableContents"/>
              <w:bidi w:val="0"/>
              <w:spacing w:before="0" w:after="283"/>
              <w:jc w:val="center"/>
              <w:rPr>
                <w:rFonts w:ascii="Arial;Helvetica;Sans-Serif" w:hAnsi="Arial;Helvetica;Sans-Serif"/>
                <w:b/>
                <w:sz w:val="24"/>
              </w:rPr>
            </w:pPr>
            <w:r>
              <w:rPr>
                <w:rFonts w:ascii="Arial;Helvetica;Sans-Serif" w:hAnsi="Arial;Helvetica;Sans-Serif"/>
                <w:b/>
                <w:sz w:val="24"/>
              </w:rPr>
              <w:t>Weighted average purchase price per share (EUR)</w:t>
            </w:r>
          </w:p>
        </w:tc>
        <w:tc>
          <w:tcPr>
            <w:tcW w:w="1871" w:type="dxa"/>
            <w:tcBorders>
              <w:top w:val="single" w:sz="8" w:space="0" w:color="000000"/>
              <w:bottom w:val="single" w:sz="8" w:space="0" w:color="000000"/>
              <w:right w:val="single" w:sz="8" w:space="0" w:color="000000"/>
            </w:tcBorders>
            <w:shd w:fill="F2F2F2" w:val="clear"/>
            <w:tcMar>
              <w:left w:w="0" w:type="dxa"/>
            </w:tcMar>
            <w:vAlign w:val="center"/>
          </w:tcPr>
          <w:p>
            <w:pPr>
              <w:pStyle w:val="TableContents"/>
              <w:bidi w:val="0"/>
              <w:spacing w:before="0" w:after="283"/>
              <w:jc w:val="center"/>
              <w:rPr>
                <w:rFonts w:ascii="Arial;Helvetica;Sans-Serif" w:hAnsi="Arial;Helvetica;Sans-Serif"/>
                <w:b/>
                <w:sz w:val="24"/>
              </w:rPr>
            </w:pPr>
            <w:r>
              <w:rPr>
                <w:rFonts w:ascii="Arial;Helvetica;Sans-Serif" w:hAnsi="Arial;Helvetica;Sans-Serif"/>
                <w:b/>
                <w:sz w:val="24"/>
              </w:rPr>
              <w:t>Total amount paid (EUR)</w:t>
            </w:r>
          </w:p>
        </w:tc>
        <w:tc>
          <w:tcPr>
            <w:tcW w:w="2364" w:type="dxa"/>
            <w:tcBorders>
              <w:top w:val="single" w:sz="8" w:space="0" w:color="000000"/>
              <w:bottom w:val="single" w:sz="8" w:space="0" w:color="000000"/>
              <w:right w:val="single" w:sz="8" w:space="0" w:color="000000"/>
            </w:tcBorders>
            <w:shd w:fill="F2F2F2" w:val="clear"/>
            <w:tcMar>
              <w:left w:w="0" w:type="dxa"/>
            </w:tcMar>
            <w:vAlign w:val="center"/>
          </w:tcPr>
          <w:p>
            <w:pPr>
              <w:pStyle w:val="TableContents"/>
              <w:bidi w:val="0"/>
              <w:spacing w:before="0" w:after="283"/>
              <w:jc w:val="center"/>
              <w:rPr>
                <w:rFonts w:ascii="Arial;Helvetica;Sans-Serif" w:hAnsi="Arial;Helvetica;Sans-Serif"/>
                <w:b/>
                <w:sz w:val="24"/>
              </w:rPr>
            </w:pPr>
            <w:r>
              <w:rPr>
                <w:rFonts w:ascii="Arial;Helvetica;Sans-Serif" w:hAnsi="Arial;Helvetica;Sans-Serif"/>
                <w:b/>
                <w:sz w:val="24"/>
              </w:rPr>
              <w:t>Market on which the shares were bought (MIC code)</w:t>
            </w:r>
          </w:p>
        </w:tc>
      </w:tr>
      <w:tr>
        <w:trPr/>
        <w:tc>
          <w:tcPr>
            <w:tcW w:w="1623" w:type="dxa"/>
            <w:tcBorders>
              <w:left w:val="single" w:sz="8" w:space="0" w:color="000000"/>
              <w:bottom w:val="single" w:sz="8" w:space="0" w:color="000000"/>
              <w:right w:val="single" w:sz="8" w:space="0" w:color="000000"/>
            </w:tcBorders>
            <w:tcMar>
              <w:top w:w="0" w:type="dxa"/>
              <w:bottom w:w="28" w:type="dxa"/>
            </w:tcMar>
            <w:vAlign w:val="center"/>
          </w:tcPr>
          <w:p>
            <w:pPr>
              <w:pStyle w:val="TableContents"/>
              <w:bidi w:val="0"/>
              <w:spacing w:before="0" w:after="283"/>
              <w:jc w:val="center"/>
              <w:rPr>
                <w:rFonts w:ascii="Arial;Helvetica;Sans-Serif" w:hAnsi="Arial;Helvetica;Sans-Serif"/>
                <w:sz w:val="24"/>
              </w:rPr>
            </w:pPr>
            <w:r>
              <w:rPr>
                <w:rFonts w:ascii="Arial;Helvetica;Sans-Serif" w:hAnsi="Arial;Helvetica;Sans-Serif"/>
                <w:sz w:val="24"/>
              </w:rPr>
              <w:t>06-Jul-26</w:t>
            </w:r>
          </w:p>
        </w:tc>
        <w:tc>
          <w:tcPr>
            <w:tcW w:w="1874" w:type="dxa"/>
            <w:tcBorders>
              <w:bottom w:val="single" w:sz="8" w:space="0" w:color="000000"/>
              <w:right w:val="single" w:sz="8" w:space="0" w:color="000000"/>
            </w:tcBorders>
            <w:tcMar>
              <w:top w:w="0" w:type="dxa"/>
              <w:left w:w="0" w:type="dxa"/>
              <w:bottom w:w="28" w:type="dxa"/>
            </w:tcMar>
            <w:vAlign w:val="center"/>
          </w:tcPr>
          <w:p>
            <w:pPr>
              <w:pStyle w:val="TableContents"/>
              <w:bidi w:val="0"/>
              <w:spacing w:before="0" w:after="283"/>
              <w:jc w:val="right"/>
              <w:rPr/>
            </w:pPr>
            <w:r>
              <w:rPr/>
              <w:t> </w:t>
            </w:r>
            <w:r>
              <w:rPr>
                <w:rFonts w:ascii="Arial;Helvetica;Sans-Serif" w:hAnsi="Arial;Helvetica;Sans-Serif"/>
                <w:sz w:val="24"/>
              </w:rPr>
              <w:t xml:space="preserve">15,249 </w:t>
            </w:r>
          </w:p>
        </w:tc>
        <w:tc>
          <w:tcPr>
            <w:tcW w:w="2473" w:type="dxa"/>
            <w:tcBorders>
              <w:bottom w:val="single" w:sz="8" w:space="0" w:color="000000"/>
              <w:right w:val="single" w:sz="8" w:space="0" w:color="000000"/>
            </w:tcBorders>
            <w:tcMar>
              <w:top w:w="0" w:type="dxa"/>
              <w:left w:w="0" w:type="dxa"/>
              <w:bottom w:w="28" w:type="dxa"/>
            </w:tcMar>
            <w:vAlign w:val="center"/>
          </w:tcPr>
          <w:p>
            <w:pPr>
              <w:pStyle w:val="TableContents"/>
              <w:bidi w:val="0"/>
              <w:spacing w:before="0" w:after="283"/>
              <w:jc w:val="right"/>
              <w:rPr/>
            </w:pPr>
            <w:r>
              <w:rPr/>
              <w:t> </w:t>
            </w:r>
            <w:r>
              <w:rPr>
                <w:rFonts w:ascii="Arial;Helvetica;Sans-Serif" w:hAnsi="Arial;Helvetica;Sans-Serif"/>
                <w:sz w:val="24"/>
              </w:rPr>
              <w:t xml:space="preserve">61.9214 </w:t>
            </w:r>
          </w:p>
        </w:tc>
        <w:tc>
          <w:tcPr>
            <w:tcW w:w="1871" w:type="dxa"/>
            <w:tcBorders>
              <w:bottom w:val="single" w:sz="8" w:space="0" w:color="000000"/>
              <w:right w:val="single" w:sz="8" w:space="0" w:color="000000"/>
            </w:tcBorders>
            <w:tcMar>
              <w:top w:w="0" w:type="dxa"/>
              <w:left w:w="0" w:type="dxa"/>
              <w:bottom w:w="28" w:type="dxa"/>
            </w:tcMar>
            <w:vAlign w:val="center"/>
          </w:tcPr>
          <w:p>
            <w:pPr>
              <w:pStyle w:val="TableContents"/>
              <w:bidi w:val="0"/>
              <w:spacing w:before="0" w:after="283"/>
              <w:jc w:val="right"/>
              <w:rPr/>
            </w:pPr>
            <w:r>
              <w:rPr/>
              <w:t> </w:t>
            </w:r>
            <w:r>
              <w:rPr>
                <w:rFonts w:ascii="Arial;Helvetica;Sans-Serif" w:hAnsi="Arial;Helvetica;Sans-Serif"/>
                <w:sz w:val="24"/>
              </w:rPr>
              <w:t xml:space="preserve">944,239.43 </w:t>
            </w:r>
          </w:p>
        </w:tc>
        <w:tc>
          <w:tcPr>
            <w:tcW w:w="2364"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rFonts w:ascii="Arial;Helvetica;Sans-Serif" w:hAnsi="Arial;Helvetica;Sans-Serif"/>
                <w:sz w:val="24"/>
              </w:rPr>
            </w:pPr>
            <w:r>
              <w:rPr>
                <w:rFonts w:ascii="Arial;Helvetica;Sans-Serif" w:hAnsi="Arial;Helvetica;Sans-Serif"/>
                <w:sz w:val="24"/>
              </w:rPr>
              <w:t>XPAR</w:t>
            </w:r>
          </w:p>
        </w:tc>
      </w:tr>
      <w:tr>
        <w:trPr/>
        <w:tc>
          <w:tcPr>
            <w:tcW w:w="1623" w:type="dxa"/>
            <w:tcBorders>
              <w:left w:val="single" w:sz="8" w:space="0" w:color="000000"/>
              <w:bottom w:val="single" w:sz="8" w:space="0" w:color="000000"/>
              <w:right w:val="single" w:sz="8" w:space="0" w:color="000000"/>
            </w:tcBorders>
            <w:tcMar>
              <w:top w:w="0" w:type="dxa"/>
              <w:bottom w:w="28" w:type="dxa"/>
            </w:tcMar>
            <w:vAlign w:val="center"/>
          </w:tcPr>
          <w:p>
            <w:pPr>
              <w:pStyle w:val="TableContents"/>
              <w:bidi w:val="0"/>
              <w:spacing w:before="0" w:after="283"/>
              <w:jc w:val="center"/>
              <w:rPr>
                <w:rFonts w:ascii="Arial;Helvetica;Sans-Serif" w:hAnsi="Arial;Helvetica;Sans-Serif"/>
                <w:sz w:val="24"/>
              </w:rPr>
            </w:pPr>
            <w:r>
              <w:rPr>
                <w:rFonts w:ascii="Arial;Helvetica;Sans-Serif" w:hAnsi="Arial;Helvetica;Sans-Serif"/>
                <w:sz w:val="24"/>
              </w:rPr>
              <w:t>07-Jul-26</w:t>
            </w:r>
          </w:p>
        </w:tc>
        <w:tc>
          <w:tcPr>
            <w:tcW w:w="1874" w:type="dxa"/>
            <w:tcBorders>
              <w:bottom w:val="single" w:sz="8" w:space="0" w:color="000000"/>
              <w:right w:val="single" w:sz="8" w:space="0" w:color="000000"/>
            </w:tcBorders>
            <w:tcMar>
              <w:top w:w="0" w:type="dxa"/>
              <w:left w:w="0" w:type="dxa"/>
              <w:bottom w:w="28" w:type="dxa"/>
            </w:tcMar>
            <w:vAlign w:val="center"/>
          </w:tcPr>
          <w:p>
            <w:pPr>
              <w:pStyle w:val="TableContents"/>
              <w:bidi w:val="0"/>
              <w:spacing w:before="0" w:after="283"/>
              <w:jc w:val="right"/>
              <w:rPr/>
            </w:pPr>
            <w:r>
              <w:rPr/>
              <w:t> </w:t>
            </w:r>
            <w:r>
              <w:rPr>
                <w:rFonts w:ascii="Arial;Helvetica;Sans-Serif" w:hAnsi="Arial;Helvetica;Sans-Serif"/>
                <w:sz w:val="24"/>
              </w:rPr>
              <w:t xml:space="preserve">35,000 </w:t>
            </w:r>
          </w:p>
        </w:tc>
        <w:tc>
          <w:tcPr>
            <w:tcW w:w="2473" w:type="dxa"/>
            <w:tcBorders>
              <w:bottom w:val="single" w:sz="8" w:space="0" w:color="000000"/>
              <w:right w:val="single" w:sz="8" w:space="0" w:color="000000"/>
            </w:tcBorders>
            <w:tcMar>
              <w:top w:w="0" w:type="dxa"/>
              <w:left w:w="0" w:type="dxa"/>
              <w:bottom w:w="28" w:type="dxa"/>
            </w:tcMar>
            <w:vAlign w:val="center"/>
          </w:tcPr>
          <w:p>
            <w:pPr>
              <w:pStyle w:val="TableContents"/>
              <w:bidi w:val="0"/>
              <w:spacing w:before="0" w:after="283"/>
              <w:jc w:val="right"/>
              <w:rPr/>
            </w:pPr>
            <w:r>
              <w:rPr/>
              <w:t> </w:t>
            </w:r>
            <w:r>
              <w:rPr>
                <w:rFonts w:ascii="Arial;Helvetica;Sans-Serif" w:hAnsi="Arial;Helvetica;Sans-Serif"/>
                <w:sz w:val="24"/>
              </w:rPr>
              <w:t xml:space="preserve">59.3457 </w:t>
            </w:r>
          </w:p>
        </w:tc>
        <w:tc>
          <w:tcPr>
            <w:tcW w:w="1871" w:type="dxa"/>
            <w:tcBorders>
              <w:bottom w:val="single" w:sz="8" w:space="0" w:color="000000"/>
              <w:right w:val="single" w:sz="8" w:space="0" w:color="000000"/>
            </w:tcBorders>
            <w:tcMar>
              <w:top w:w="0" w:type="dxa"/>
              <w:left w:w="0" w:type="dxa"/>
              <w:bottom w:w="28" w:type="dxa"/>
            </w:tcMar>
            <w:vAlign w:val="center"/>
          </w:tcPr>
          <w:p>
            <w:pPr>
              <w:pStyle w:val="TableContents"/>
              <w:bidi w:val="0"/>
              <w:spacing w:before="0" w:after="283"/>
              <w:jc w:val="right"/>
              <w:rPr/>
            </w:pPr>
            <w:r>
              <w:rPr/>
              <w:t> </w:t>
            </w:r>
            <w:r>
              <w:rPr>
                <w:rFonts w:ascii="Arial;Helvetica;Sans-Serif" w:hAnsi="Arial;Helvetica;Sans-Serif"/>
                <w:sz w:val="24"/>
              </w:rPr>
              <w:t xml:space="preserve">2,077,099.50 </w:t>
            </w:r>
          </w:p>
        </w:tc>
        <w:tc>
          <w:tcPr>
            <w:tcW w:w="2364"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rFonts w:ascii="Arial;Helvetica;Sans-Serif" w:hAnsi="Arial;Helvetica;Sans-Serif"/>
                <w:sz w:val="24"/>
              </w:rPr>
            </w:pPr>
            <w:r>
              <w:rPr>
                <w:rFonts w:ascii="Arial;Helvetica;Sans-Serif" w:hAnsi="Arial;Helvetica;Sans-Serif"/>
                <w:sz w:val="24"/>
              </w:rPr>
              <w:t>XPAR</w:t>
            </w:r>
          </w:p>
        </w:tc>
      </w:tr>
      <w:tr>
        <w:trPr/>
        <w:tc>
          <w:tcPr>
            <w:tcW w:w="1623" w:type="dxa"/>
            <w:tcBorders>
              <w:left w:val="single" w:sz="8" w:space="0" w:color="000000"/>
              <w:bottom w:val="single" w:sz="8" w:space="0" w:color="000000"/>
              <w:right w:val="single" w:sz="8" w:space="0" w:color="000000"/>
            </w:tcBorders>
            <w:tcMar>
              <w:top w:w="0" w:type="dxa"/>
              <w:bottom w:w="28" w:type="dxa"/>
            </w:tcMar>
            <w:vAlign w:val="center"/>
          </w:tcPr>
          <w:p>
            <w:pPr>
              <w:pStyle w:val="TableContents"/>
              <w:bidi w:val="0"/>
              <w:spacing w:before="0" w:after="283"/>
              <w:jc w:val="center"/>
              <w:rPr>
                <w:rFonts w:ascii="Arial;Helvetica;Sans-Serif" w:hAnsi="Arial;Helvetica;Sans-Serif"/>
                <w:sz w:val="24"/>
              </w:rPr>
            </w:pPr>
            <w:r>
              <w:rPr>
                <w:rFonts w:ascii="Arial;Helvetica;Sans-Serif" w:hAnsi="Arial;Helvetica;Sans-Serif"/>
                <w:sz w:val="24"/>
              </w:rPr>
              <w:t>08-Jul-26</w:t>
            </w:r>
          </w:p>
        </w:tc>
        <w:tc>
          <w:tcPr>
            <w:tcW w:w="1874" w:type="dxa"/>
            <w:tcBorders>
              <w:bottom w:val="single" w:sz="8" w:space="0" w:color="000000"/>
              <w:right w:val="single" w:sz="8" w:space="0" w:color="000000"/>
            </w:tcBorders>
            <w:tcMar>
              <w:top w:w="0" w:type="dxa"/>
              <w:left w:w="0" w:type="dxa"/>
              <w:bottom w:w="28" w:type="dxa"/>
            </w:tcMar>
            <w:vAlign w:val="center"/>
          </w:tcPr>
          <w:p>
            <w:pPr>
              <w:pStyle w:val="TableContents"/>
              <w:bidi w:val="0"/>
              <w:spacing w:before="0" w:after="283"/>
              <w:jc w:val="right"/>
              <w:rPr/>
            </w:pPr>
            <w:r>
              <w:rPr/>
              <w:t> </w:t>
            </w:r>
            <w:r>
              <w:rPr>
                <w:rFonts w:ascii="Arial;Helvetica;Sans-Serif" w:hAnsi="Arial;Helvetica;Sans-Serif"/>
                <w:sz w:val="24"/>
              </w:rPr>
              <w:t xml:space="preserve">20,000 </w:t>
            </w:r>
          </w:p>
        </w:tc>
        <w:tc>
          <w:tcPr>
            <w:tcW w:w="2473" w:type="dxa"/>
            <w:tcBorders>
              <w:bottom w:val="single" w:sz="8" w:space="0" w:color="000000"/>
              <w:right w:val="single" w:sz="8" w:space="0" w:color="000000"/>
            </w:tcBorders>
            <w:tcMar>
              <w:top w:w="0" w:type="dxa"/>
              <w:left w:w="0" w:type="dxa"/>
              <w:bottom w:w="28" w:type="dxa"/>
            </w:tcMar>
            <w:vAlign w:val="center"/>
          </w:tcPr>
          <w:p>
            <w:pPr>
              <w:pStyle w:val="TableContents"/>
              <w:bidi w:val="0"/>
              <w:spacing w:before="0" w:after="283"/>
              <w:jc w:val="right"/>
              <w:rPr/>
            </w:pPr>
            <w:r>
              <w:rPr/>
              <w:t> </w:t>
            </w:r>
            <w:r>
              <w:rPr>
                <w:rFonts w:ascii="Arial;Helvetica;Sans-Serif" w:hAnsi="Arial;Helvetica;Sans-Serif"/>
                <w:sz w:val="24"/>
              </w:rPr>
              <w:t xml:space="preserve">58.7469 </w:t>
            </w:r>
          </w:p>
        </w:tc>
        <w:tc>
          <w:tcPr>
            <w:tcW w:w="1871" w:type="dxa"/>
            <w:tcBorders>
              <w:bottom w:val="single" w:sz="8" w:space="0" w:color="000000"/>
              <w:right w:val="single" w:sz="8" w:space="0" w:color="000000"/>
            </w:tcBorders>
            <w:tcMar>
              <w:top w:w="0" w:type="dxa"/>
              <w:left w:w="0" w:type="dxa"/>
              <w:bottom w:w="28" w:type="dxa"/>
            </w:tcMar>
            <w:vAlign w:val="center"/>
          </w:tcPr>
          <w:p>
            <w:pPr>
              <w:pStyle w:val="TableContents"/>
              <w:bidi w:val="0"/>
              <w:spacing w:before="0" w:after="283"/>
              <w:jc w:val="right"/>
              <w:rPr/>
            </w:pPr>
            <w:r>
              <w:rPr/>
              <w:t> </w:t>
            </w:r>
            <w:r>
              <w:rPr>
                <w:rFonts w:ascii="Arial;Helvetica;Sans-Serif" w:hAnsi="Arial;Helvetica;Sans-Serif"/>
                <w:sz w:val="24"/>
              </w:rPr>
              <w:t xml:space="preserve">1,174,938.00 </w:t>
            </w:r>
          </w:p>
        </w:tc>
        <w:tc>
          <w:tcPr>
            <w:tcW w:w="2364"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rFonts w:ascii="Arial;Helvetica;Sans-Serif" w:hAnsi="Arial;Helvetica;Sans-Serif"/>
                <w:sz w:val="24"/>
              </w:rPr>
            </w:pPr>
            <w:r>
              <w:rPr>
                <w:rFonts w:ascii="Arial;Helvetica;Sans-Serif" w:hAnsi="Arial;Helvetica;Sans-Serif"/>
                <w:sz w:val="24"/>
              </w:rPr>
              <w:t>XPAR</w:t>
            </w:r>
          </w:p>
        </w:tc>
      </w:tr>
      <w:tr>
        <w:trPr/>
        <w:tc>
          <w:tcPr>
            <w:tcW w:w="1623" w:type="dxa"/>
            <w:tcBorders>
              <w:left w:val="single" w:sz="8" w:space="0" w:color="000000"/>
              <w:bottom w:val="single" w:sz="8" w:space="0" w:color="000000"/>
              <w:right w:val="single" w:sz="8" w:space="0" w:color="000000"/>
            </w:tcBorders>
            <w:tcMar>
              <w:top w:w="0" w:type="dxa"/>
              <w:bottom w:w="28" w:type="dxa"/>
            </w:tcMar>
            <w:vAlign w:val="center"/>
          </w:tcPr>
          <w:p>
            <w:pPr>
              <w:pStyle w:val="TableContents"/>
              <w:bidi w:val="0"/>
              <w:spacing w:before="0" w:after="283"/>
              <w:jc w:val="center"/>
              <w:rPr>
                <w:rFonts w:ascii="Arial;Helvetica;Sans-Serif" w:hAnsi="Arial;Helvetica;Sans-Serif"/>
                <w:sz w:val="24"/>
              </w:rPr>
            </w:pPr>
            <w:r>
              <w:rPr>
                <w:rFonts w:ascii="Arial;Helvetica;Sans-Serif" w:hAnsi="Arial;Helvetica;Sans-Serif"/>
                <w:sz w:val="24"/>
              </w:rPr>
              <w:t>09-Jul-26</w:t>
            </w:r>
          </w:p>
        </w:tc>
        <w:tc>
          <w:tcPr>
            <w:tcW w:w="1874" w:type="dxa"/>
            <w:tcBorders>
              <w:bottom w:val="single" w:sz="8" w:space="0" w:color="000000"/>
              <w:right w:val="single" w:sz="8" w:space="0" w:color="000000"/>
            </w:tcBorders>
            <w:tcMar>
              <w:top w:w="0" w:type="dxa"/>
              <w:left w:w="0" w:type="dxa"/>
              <w:bottom w:w="28" w:type="dxa"/>
            </w:tcMar>
            <w:vAlign w:val="center"/>
          </w:tcPr>
          <w:p>
            <w:pPr>
              <w:pStyle w:val="TableContents"/>
              <w:bidi w:val="0"/>
              <w:spacing w:before="0" w:after="283"/>
              <w:jc w:val="right"/>
              <w:rPr/>
            </w:pPr>
            <w:r>
              <w:rPr/>
              <w:t> </w:t>
            </w:r>
            <w:r>
              <w:rPr>
                <w:rFonts w:ascii="Arial;Helvetica;Sans-Serif" w:hAnsi="Arial;Helvetica;Sans-Serif"/>
                <w:sz w:val="24"/>
              </w:rPr>
              <w:t xml:space="preserve">5,946 </w:t>
            </w:r>
          </w:p>
        </w:tc>
        <w:tc>
          <w:tcPr>
            <w:tcW w:w="2473" w:type="dxa"/>
            <w:tcBorders>
              <w:bottom w:val="single" w:sz="8" w:space="0" w:color="000000"/>
              <w:right w:val="single" w:sz="8" w:space="0" w:color="000000"/>
            </w:tcBorders>
            <w:tcMar>
              <w:top w:w="0" w:type="dxa"/>
              <w:left w:w="0" w:type="dxa"/>
              <w:bottom w:w="28" w:type="dxa"/>
            </w:tcMar>
            <w:vAlign w:val="center"/>
          </w:tcPr>
          <w:p>
            <w:pPr>
              <w:pStyle w:val="TableContents"/>
              <w:bidi w:val="0"/>
              <w:spacing w:before="0" w:after="283"/>
              <w:jc w:val="right"/>
              <w:rPr/>
            </w:pPr>
            <w:r>
              <w:rPr/>
              <w:t> </w:t>
            </w:r>
            <w:r>
              <w:rPr>
                <w:rFonts w:ascii="Arial;Helvetica;Sans-Serif" w:hAnsi="Arial;Helvetica;Sans-Serif"/>
                <w:sz w:val="24"/>
              </w:rPr>
              <w:t xml:space="preserve">60.7871 </w:t>
            </w:r>
          </w:p>
        </w:tc>
        <w:tc>
          <w:tcPr>
            <w:tcW w:w="1871" w:type="dxa"/>
            <w:tcBorders>
              <w:bottom w:val="single" w:sz="8" w:space="0" w:color="000000"/>
              <w:right w:val="single" w:sz="8" w:space="0" w:color="000000"/>
            </w:tcBorders>
            <w:tcMar>
              <w:top w:w="0" w:type="dxa"/>
              <w:left w:w="0" w:type="dxa"/>
              <w:bottom w:w="28" w:type="dxa"/>
            </w:tcMar>
            <w:vAlign w:val="center"/>
          </w:tcPr>
          <w:p>
            <w:pPr>
              <w:pStyle w:val="TableContents"/>
              <w:bidi w:val="0"/>
              <w:spacing w:before="0" w:after="283"/>
              <w:jc w:val="right"/>
              <w:rPr/>
            </w:pPr>
            <w:r>
              <w:rPr/>
              <w:t> </w:t>
            </w:r>
            <w:r>
              <w:rPr>
                <w:rFonts w:ascii="Arial;Helvetica;Sans-Serif" w:hAnsi="Arial;Helvetica;Sans-Serif"/>
                <w:sz w:val="24"/>
              </w:rPr>
              <w:t xml:space="preserve">361,440.10 </w:t>
            </w:r>
          </w:p>
        </w:tc>
        <w:tc>
          <w:tcPr>
            <w:tcW w:w="2364"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rFonts w:ascii="Arial;Helvetica;Sans-Serif" w:hAnsi="Arial;Helvetica;Sans-Serif"/>
                <w:sz w:val="24"/>
              </w:rPr>
            </w:pPr>
            <w:r>
              <w:rPr>
                <w:rFonts w:ascii="Arial;Helvetica;Sans-Serif" w:hAnsi="Arial;Helvetica;Sans-Serif"/>
                <w:sz w:val="24"/>
              </w:rPr>
              <w:t>XPAR</w:t>
            </w:r>
          </w:p>
        </w:tc>
      </w:tr>
      <w:tr>
        <w:trPr/>
        <w:tc>
          <w:tcPr>
            <w:tcW w:w="1623" w:type="dxa"/>
            <w:tcBorders>
              <w:left w:val="single" w:sz="8" w:space="0" w:color="000000"/>
              <w:bottom w:val="single" w:sz="8" w:space="0" w:color="000000"/>
              <w:right w:val="single" w:sz="8" w:space="0" w:color="000000"/>
            </w:tcBorders>
            <w:tcMar>
              <w:top w:w="0" w:type="dxa"/>
              <w:bottom w:w="28" w:type="dxa"/>
            </w:tcMar>
            <w:vAlign w:val="center"/>
          </w:tcPr>
          <w:p>
            <w:pPr>
              <w:pStyle w:val="TableContents"/>
              <w:bidi w:val="0"/>
              <w:spacing w:before="0" w:after="283"/>
              <w:jc w:val="center"/>
              <w:rPr>
                <w:rFonts w:ascii="Arial;Helvetica;Sans-Serif" w:hAnsi="Arial;Helvetica;Sans-Serif"/>
                <w:sz w:val="24"/>
              </w:rPr>
            </w:pPr>
            <w:r>
              <w:rPr>
                <w:rFonts w:ascii="Arial;Helvetica;Sans-Serif" w:hAnsi="Arial;Helvetica;Sans-Serif"/>
                <w:sz w:val="24"/>
              </w:rPr>
              <w:t>10-Jul-26</w:t>
            </w:r>
          </w:p>
        </w:tc>
        <w:tc>
          <w:tcPr>
            <w:tcW w:w="1874" w:type="dxa"/>
            <w:tcBorders>
              <w:bottom w:val="single" w:sz="8" w:space="0" w:color="000000"/>
              <w:right w:val="single" w:sz="8" w:space="0" w:color="000000"/>
            </w:tcBorders>
            <w:tcMar>
              <w:top w:w="0" w:type="dxa"/>
              <w:left w:w="0" w:type="dxa"/>
              <w:bottom w:w="28" w:type="dxa"/>
            </w:tcMar>
            <w:vAlign w:val="center"/>
          </w:tcPr>
          <w:p>
            <w:pPr>
              <w:pStyle w:val="TableContents"/>
              <w:bidi w:val="0"/>
              <w:spacing w:before="0" w:after="283"/>
              <w:jc w:val="right"/>
              <w:rPr/>
            </w:pPr>
            <w:r>
              <w:rPr/>
              <w:t> </w:t>
            </w:r>
            <w:r>
              <w:rPr>
                <w:rFonts w:ascii="Arial;Helvetica;Sans-Serif" w:hAnsi="Arial;Helvetica;Sans-Serif"/>
                <w:sz w:val="24"/>
              </w:rPr>
              <w:t xml:space="preserve">20,000 </w:t>
            </w:r>
          </w:p>
        </w:tc>
        <w:tc>
          <w:tcPr>
            <w:tcW w:w="2473" w:type="dxa"/>
            <w:tcBorders>
              <w:bottom w:val="single" w:sz="8" w:space="0" w:color="000000"/>
              <w:right w:val="single" w:sz="8" w:space="0" w:color="000000"/>
            </w:tcBorders>
            <w:tcMar>
              <w:top w:w="0" w:type="dxa"/>
              <w:left w:w="0" w:type="dxa"/>
              <w:bottom w:w="28" w:type="dxa"/>
            </w:tcMar>
            <w:vAlign w:val="center"/>
          </w:tcPr>
          <w:p>
            <w:pPr>
              <w:pStyle w:val="TableContents"/>
              <w:bidi w:val="0"/>
              <w:spacing w:before="0" w:after="283"/>
              <w:jc w:val="right"/>
              <w:rPr/>
            </w:pPr>
            <w:r>
              <w:rPr/>
              <w:t> </w:t>
            </w:r>
            <w:r>
              <w:rPr>
                <w:rFonts w:ascii="Arial;Helvetica;Sans-Serif" w:hAnsi="Arial;Helvetica;Sans-Serif"/>
                <w:sz w:val="24"/>
              </w:rPr>
              <w:t xml:space="preserve">61.9860 </w:t>
            </w:r>
          </w:p>
        </w:tc>
        <w:tc>
          <w:tcPr>
            <w:tcW w:w="1871" w:type="dxa"/>
            <w:tcBorders>
              <w:bottom w:val="single" w:sz="8" w:space="0" w:color="000000"/>
              <w:right w:val="single" w:sz="8" w:space="0" w:color="000000"/>
            </w:tcBorders>
            <w:tcMar>
              <w:top w:w="0" w:type="dxa"/>
              <w:left w:w="0" w:type="dxa"/>
              <w:bottom w:w="28" w:type="dxa"/>
            </w:tcMar>
            <w:vAlign w:val="center"/>
          </w:tcPr>
          <w:p>
            <w:pPr>
              <w:pStyle w:val="TableContents"/>
              <w:bidi w:val="0"/>
              <w:spacing w:before="0" w:after="283"/>
              <w:jc w:val="right"/>
              <w:rPr/>
            </w:pPr>
            <w:r>
              <w:rPr/>
              <w:t> </w:t>
            </w:r>
            <w:r>
              <w:rPr>
                <w:rFonts w:ascii="Arial;Helvetica;Sans-Serif" w:hAnsi="Arial;Helvetica;Sans-Serif"/>
                <w:sz w:val="24"/>
              </w:rPr>
              <w:t xml:space="preserve">1,239,720.00 </w:t>
            </w:r>
          </w:p>
        </w:tc>
        <w:tc>
          <w:tcPr>
            <w:tcW w:w="2364"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rFonts w:ascii="Arial;Helvetica;Sans-Serif" w:hAnsi="Arial;Helvetica;Sans-Serif"/>
                <w:sz w:val="24"/>
              </w:rPr>
            </w:pPr>
            <w:r>
              <w:rPr>
                <w:rFonts w:ascii="Arial;Helvetica;Sans-Serif" w:hAnsi="Arial;Helvetica;Sans-Serif"/>
                <w:sz w:val="24"/>
              </w:rPr>
              <w:t>XPAR</w:t>
            </w:r>
          </w:p>
        </w:tc>
      </w:tr>
      <w:tr>
        <w:trPr/>
        <w:tc>
          <w:tcPr>
            <w:tcW w:w="1623"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center"/>
              <w:rPr>
                <w:rFonts w:ascii="Arial;Helvetica;Sans-Serif" w:hAnsi="Arial;Helvetica;Sans-Serif"/>
                <w:sz w:val="24"/>
              </w:rPr>
            </w:pPr>
            <w:r>
              <w:rPr>
                <w:rFonts w:ascii="Arial;Helvetica;Sans-Serif" w:hAnsi="Arial;Helvetica;Sans-Serif"/>
                <w:sz w:val="24"/>
              </w:rPr>
              <w:t>Total for Period</w:t>
            </w:r>
          </w:p>
        </w:tc>
        <w:tc>
          <w:tcPr>
            <w:tcW w:w="1874" w:type="dxa"/>
            <w:tcBorders>
              <w:bottom w:val="single" w:sz="8" w:space="0" w:color="000000"/>
              <w:right w:val="single" w:sz="8" w:space="0" w:color="000000"/>
            </w:tcBorders>
            <w:tcMar>
              <w:top w:w="0" w:type="dxa"/>
              <w:left w:w="0" w:type="dxa"/>
              <w:bottom w:w="28" w:type="dxa"/>
            </w:tcMar>
            <w:vAlign w:val="center"/>
          </w:tcPr>
          <w:p>
            <w:pPr>
              <w:pStyle w:val="TableContents"/>
              <w:bidi w:val="0"/>
              <w:spacing w:before="0" w:after="283"/>
              <w:jc w:val="right"/>
              <w:rPr>
                <w:rFonts w:ascii="Arial;Helvetica;Sans-Serif" w:hAnsi="Arial;Helvetica;Sans-Serif"/>
                <w:sz w:val="24"/>
              </w:rPr>
            </w:pPr>
            <w:r>
              <w:rPr>
                <w:rFonts w:ascii="Arial;Helvetica;Sans-Serif" w:hAnsi="Arial;Helvetica;Sans-Serif"/>
                <w:sz w:val="24"/>
              </w:rPr>
              <w:t>96,195</w:t>
            </w:r>
          </w:p>
        </w:tc>
        <w:tc>
          <w:tcPr>
            <w:tcW w:w="2473" w:type="dxa"/>
            <w:tcBorders>
              <w:bottom w:val="single" w:sz="8" w:space="0" w:color="000000"/>
              <w:right w:val="single" w:sz="8" w:space="0" w:color="000000"/>
            </w:tcBorders>
            <w:tcMar>
              <w:top w:w="0" w:type="dxa"/>
              <w:left w:w="0" w:type="dxa"/>
              <w:bottom w:w="28" w:type="dxa"/>
            </w:tcMar>
            <w:vAlign w:val="center"/>
          </w:tcPr>
          <w:p>
            <w:pPr>
              <w:pStyle w:val="TableContents"/>
              <w:bidi w:val="0"/>
              <w:spacing w:before="0" w:after="283"/>
              <w:jc w:val="right"/>
              <w:rPr/>
            </w:pPr>
            <w:r>
              <w:rPr/>
              <w:t> </w:t>
            </w:r>
            <w:r>
              <w:rPr>
                <w:rFonts w:ascii="Arial;Helvetica;Sans-Serif" w:hAnsi="Arial;Helvetica;Sans-Serif"/>
                <w:sz w:val="24"/>
              </w:rPr>
              <w:t xml:space="preserve">60.2676 </w:t>
            </w:r>
          </w:p>
        </w:tc>
        <w:tc>
          <w:tcPr>
            <w:tcW w:w="1871" w:type="dxa"/>
            <w:tcBorders>
              <w:bottom w:val="single" w:sz="8" w:space="0" w:color="000000"/>
              <w:right w:val="single" w:sz="8" w:space="0" w:color="000000"/>
            </w:tcBorders>
            <w:tcMar>
              <w:top w:w="0" w:type="dxa"/>
              <w:left w:w="0" w:type="dxa"/>
              <w:bottom w:w="28" w:type="dxa"/>
            </w:tcMar>
            <w:vAlign w:val="center"/>
          </w:tcPr>
          <w:p>
            <w:pPr>
              <w:pStyle w:val="TableContents"/>
              <w:bidi w:val="0"/>
              <w:spacing w:before="0" w:after="283"/>
              <w:jc w:val="right"/>
              <w:rPr/>
            </w:pPr>
            <w:r>
              <w:rPr/>
              <w:t> </w:t>
            </w:r>
            <w:r>
              <w:rPr>
                <w:rFonts w:ascii="Arial;Helvetica;Sans-Serif" w:hAnsi="Arial;Helvetica;Sans-Serif"/>
                <w:sz w:val="24"/>
              </w:rPr>
              <w:t xml:space="preserve">5,797,437.03 </w:t>
            </w:r>
          </w:p>
        </w:tc>
        <w:tc>
          <w:tcPr>
            <w:tcW w:w="2364" w:type="dxa"/>
            <w:tcBorders>
              <w:bottom w:val="single" w:sz="8" w:space="0" w:color="000000"/>
              <w:right w:val="single" w:sz="8" w:space="0" w:color="000000"/>
            </w:tcBorders>
            <w:tcMar>
              <w:top w:w="0" w:type="dxa"/>
              <w:left w:w="0" w:type="dxa"/>
            </w:tcMar>
            <w:vAlign w:val="center"/>
          </w:tcPr>
          <w:p>
            <w:pPr>
              <w:pStyle w:val="TableContents"/>
              <w:bidi w:val="0"/>
              <w:spacing w:before="0" w:after="283"/>
              <w:jc w:val="right"/>
              <w:rPr/>
            </w:pPr>
            <w:r>
              <w:rPr/>
              <w:t> </w:t>
            </w:r>
          </w:p>
        </w:tc>
      </w:tr>
    </w:tbl>
    <w:p>
      <w:pPr>
        <w:pStyle w:val="TextBody"/>
        <w:bidi w:val="0"/>
        <w:spacing w:before="0" w:after="240"/>
        <w:jc w:val="both"/>
        <w:rPr>
          <w:rFonts w:ascii="Arial;Helvetica;Sans-Serif" w:hAnsi="Arial;Helvetica;Sans-Serif"/>
          <w:b w:val="false"/>
          <w:i w:val="false"/>
          <w:caps w:val="false"/>
          <w:smallCaps w:val="false"/>
          <w:sz w:val="24"/>
        </w:rPr>
      </w:pPr>
      <w:r>
        <w:rPr>
          <w:rFonts w:ascii="Arial;Helvetica;Sans-Serif" w:hAnsi="Arial;Helvetica;Sans-Serif"/>
          <w:b w:val="false"/>
          <w:i w:val="false"/>
          <w:caps w:val="false"/>
          <w:smallCaps w:val="false"/>
          <w:sz w:val="24"/>
        </w:rPr>
        <w:br/>
        <w:t>Following the share buybacks detailed above, the Company holds in total 18,978,298 treasury shares, which represents approximately 2.1% of the Company’s issued share capital.</w:t>
      </w:r>
    </w:p>
    <w:p>
      <w:pPr>
        <w:pStyle w:val="TextBody"/>
        <w:bidi w:val="0"/>
        <w:jc w:val="left"/>
        <w:rPr>
          <w:rFonts w:ascii="Arial;Helvetica;Sans-Serif" w:hAnsi="Arial;Helvetica;Sans-Serif"/>
          <w:b w:val="false"/>
          <w:i w:val="false"/>
          <w:caps w:val="false"/>
          <w:smallCaps w:val="false"/>
          <w:sz w:val="24"/>
        </w:rPr>
      </w:pPr>
      <w:r>
        <w:rPr>
          <w:rFonts w:ascii="Arial;Helvetica;Sans-Serif" w:hAnsi="Arial;Helvetica;Sans-Serif"/>
          <w:b w:val="false"/>
          <w:i w:val="false"/>
          <w:caps w:val="false"/>
          <w:smallCaps w:val="false"/>
          <w:sz w:val="24"/>
        </w:rPr>
        <w:t>In accordance with Article 5(1)(b) of the Market Abuse Regulation and Article 2(3) of Commission Delegated Regulation (EU) 2016/1052, a full breakdown of the individual trades in the Program are disclosed on the ST website (</w:t>
      </w:r>
      <w:r>
        <w:rPr>
          <w:rFonts w:ascii="Arial;Helvetica;Sans-Serif" w:hAnsi="Arial;Helvetica;Sans-Serif"/>
          <w:b w:val="false"/>
          <w:i w:val="false"/>
          <w:caps w:val="false"/>
          <w:smallCaps w:val="false"/>
          <w:color w:val="0000FF"/>
          <w:sz w:val="24"/>
          <w:u w:val="single"/>
        </w:rPr>
        <w:t>https://investors.st.com/stock-and-bond-information/share-buyback</w:t>
      </w:r>
      <w:r>
        <w:rPr>
          <w:rFonts w:ascii="Arial;Helvetica;Sans-Serif" w:hAnsi="Arial;Helvetica;Sans-Serif"/>
          <w:b w:val="false"/>
          <w:i w:val="false"/>
          <w:caps w:val="false"/>
          <w:smallCaps w:val="false"/>
          <w:sz w:val="24"/>
        </w:rPr>
        <w:t>).</w:t>
      </w:r>
    </w:p>
    <w:p>
      <w:pPr>
        <w:pStyle w:val="TextBody"/>
        <w:bidi w:val="0"/>
        <w:jc w:val="left"/>
        <w:rPr>
          <w:caps w:val="false"/>
          <w:smallCaps w:val="false"/>
        </w:rPr>
      </w:pPr>
      <w:r>
        <w:rPr>
          <w:caps w:val="false"/>
          <w:smallCaps w:val="false"/>
        </w:rPr>
        <w:t> </w:t>
      </w:r>
    </w:p>
    <w:p>
      <w:pPr>
        <w:pStyle w:val="TextBody"/>
        <w:bidi w:val="0"/>
        <w:jc w:val="left"/>
        <w:rPr>
          <w:rFonts w:ascii="Arial;Helvetica;Sans-Serif" w:hAnsi="Arial;Helvetica;Sans-Serif"/>
          <w:b w:val="false"/>
          <w:i w:val="false"/>
          <w:caps w:val="false"/>
          <w:smallCaps w:val="false"/>
          <w:sz w:val="24"/>
        </w:rPr>
      </w:pPr>
      <w:r>
        <w:rPr>
          <w:rFonts w:ascii="Arial;Helvetica;Sans-Serif" w:hAnsi="Arial;Helvetica;Sans-Serif"/>
          <w:b/>
          <w:i w:val="false"/>
          <w:caps w:val="false"/>
          <w:smallCaps w:val="false"/>
          <w:sz w:val="24"/>
        </w:rPr>
        <w:t>About STMicroelectronics</w:t>
        <w:br/>
      </w:r>
      <w:r>
        <w:rPr>
          <w:rFonts w:ascii="Arial;Helvetica;Sans-Serif" w:hAnsi="Arial;Helvetica;Sans-Serif"/>
          <w:b w:val="false"/>
          <w:i w:val="false"/>
          <w:caps w:val="false"/>
          <w:smallCaps w:val="false"/>
          <w:sz w:val="24"/>
        </w:rPr>
        <w:t xml:space="preserve">At ST, we are 49,000 creators and makers of semiconductor technologies mastering the semiconductor supply chain with state-of-the-art manufacturing facilities. An integrated device manufacturer, we work with more than 200,000 customers and thousands of partners to design and build products, solutions, and ecosystems that address their challenges and opportunities, and the need to support a more sustainable world. Our technologies enable smarter mobility, more efficient power and energy management, and the wide-scale deployment of cloud-connected autonomous things. We are on track to be carbon neutral in all direct and indirect emissions (scopes 1 and 2), product transportation, business travel, and employee commuting emissions (our scope 3 focus), and to achieve our 100% renewable electricity sourcing goal by the end of 2027. Further information can be found at </w:t>
      </w:r>
      <w:r>
        <w:rPr>
          <w:rFonts w:ascii="Arial;Helvetica;Sans-Serif" w:hAnsi="Arial;Helvetica;Sans-Serif"/>
          <w:b w:val="false"/>
          <w:i w:val="false"/>
          <w:caps w:val="false"/>
          <w:smallCaps w:val="false"/>
          <w:color w:val="0000FF"/>
          <w:sz w:val="24"/>
          <w:u w:val="single"/>
        </w:rPr>
        <w:t>www.st.com</w:t>
      </w:r>
    </w:p>
    <w:p>
      <w:pPr>
        <w:pStyle w:val="TextBody"/>
        <w:bidi w:val="0"/>
        <w:jc w:val="left"/>
        <w:rPr>
          <w:caps w:val="false"/>
          <w:smallCaps w:val="false"/>
        </w:rPr>
      </w:pPr>
      <w:r>
        <w:rPr>
          <w:caps w:val="false"/>
          <w:smallCaps w:val="false"/>
        </w:rPr>
        <w:t> </w:t>
      </w:r>
    </w:p>
    <w:p>
      <w:pPr>
        <w:pStyle w:val="TextBody"/>
        <w:bidi w:val="0"/>
        <w:jc w:val="left"/>
        <w:rPr>
          <w:rFonts w:ascii="Arial;Helvetica;Sans-Serif" w:hAnsi="Arial;Helvetica;Sans-Serif"/>
          <w:b/>
          <w:i w:val="false"/>
          <w:caps w:val="false"/>
          <w:smallCaps w:val="false"/>
          <w:sz w:val="24"/>
        </w:rPr>
      </w:pPr>
      <w:r>
        <w:rPr>
          <w:rFonts w:ascii="Arial;Helvetica;Sans-Serif" w:hAnsi="Arial;Helvetica;Sans-Serif"/>
          <w:b/>
          <w:i w:val="false"/>
          <w:caps w:val="false"/>
          <w:smallCaps w:val="false"/>
          <w:sz w:val="24"/>
        </w:rPr>
        <w:t xml:space="preserve">For more information, please contact: </w:t>
      </w:r>
    </w:p>
    <w:p>
      <w:pPr>
        <w:pStyle w:val="TextBody"/>
        <w:bidi w:val="0"/>
        <w:jc w:val="left"/>
        <w:rPr>
          <w:rFonts w:ascii="Arial;Helvetica;Sans-Serif" w:hAnsi="Arial;Helvetica;Sans-Serif"/>
          <w:b w:val="false"/>
          <w:i w:val="false"/>
          <w:caps w:val="false"/>
          <w:smallCaps w:val="false"/>
          <w:sz w:val="24"/>
        </w:rPr>
      </w:pPr>
      <w:r>
        <w:rPr>
          <w:rFonts w:ascii="Arial;Helvetica;Sans-Serif" w:hAnsi="Arial;Helvetica;Sans-Serif"/>
          <w:b w:val="false"/>
          <w:i w:val="false"/>
          <w:caps w:val="false"/>
          <w:smallCaps w:val="false"/>
          <w:sz w:val="24"/>
        </w:rPr>
        <w:br/>
        <w:t>INVESTOR RELATIONS</w:t>
      </w:r>
    </w:p>
    <w:p>
      <w:pPr>
        <w:pStyle w:val="TextBody"/>
        <w:bidi w:val="0"/>
        <w:jc w:val="left"/>
        <w:rPr>
          <w:rFonts w:ascii="Arial;Helvetica;Sans-Serif" w:hAnsi="Arial;Helvetica;Sans-Serif"/>
          <w:b w:val="false"/>
          <w:i w:val="false"/>
          <w:caps w:val="false"/>
          <w:smallCaps w:val="false"/>
          <w:sz w:val="24"/>
        </w:rPr>
      </w:pPr>
      <w:r>
        <w:rPr>
          <w:rFonts w:ascii="Arial;Helvetica;Sans-Serif" w:hAnsi="Arial;Helvetica;Sans-Serif"/>
          <w:b w:val="false"/>
          <w:i w:val="false"/>
          <w:caps w:val="false"/>
          <w:smallCaps w:val="false"/>
          <w:sz w:val="24"/>
        </w:rPr>
        <w:t>Jérôme Ramel</w:t>
      </w:r>
    </w:p>
    <w:p>
      <w:pPr>
        <w:pStyle w:val="TextBody"/>
        <w:bidi w:val="0"/>
        <w:jc w:val="left"/>
        <w:rPr>
          <w:rFonts w:ascii="Arial;Helvetica;Sans-Serif" w:hAnsi="Arial;Helvetica;Sans-Serif"/>
          <w:b w:val="false"/>
          <w:i w:val="false"/>
          <w:caps w:val="false"/>
          <w:smallCaps w:val="false"/>
          <w:sz w:val="24"/>
        </w:rPr>
      </w:pPr>
      <w:r>
        <w:rPr>
          <w:rFonts w:ascii="Arial;Helvetica;Sans-Serif" w:hAnsi="Arial;Helvetica;Sans-Serif"/>
          <w:b w:val="false"/>
          <w:i w:val="false"/>
          <w:caps w:val="false"/>
          <w:smallCaps w:val="false"/>
          <w:sz w:val="24"/>
        </w:rPr>
        <w:t>EVP Corporate Development &amp; Integrated External Communication</w:t>
      </w:r>
    </w:p>
    <w:p>
      <w:pPr>
        <w:pStyle w:val="TextBody"/>
        <w:bidi w:val="0"/>
        <w:jc w:val="left"/>
        <w:rPr>
          <w:rFonts w:ascii="Arial;Helvetica;Sans-Serif" w:hAnsi="Arial;Helvetica;Sans-Serif"/>
          <w:b w:val="false"/>
          <w:i w:val="false"/>
          <w:caps w:val="false"/>
          <w:smallCaps w:val="false"/>
          <w:sz w:val="24"/>
        </w:rPr>
      </w:pPr>
      <w:r>
        <w:rPr>
          <w:rFonts w:ascii="Arial;Helvetica;Sans-Serif" w:hAnsi="Arial;Helvetica;Sans-Serif"/>
          <w:b w:val="false"/>
          <w:i w:val="false"/>
          <w:caps w:val="false"/>
          <w:smallCaps w:val="false"/>
          <w:sz w:val="24"/>
        </w:rPr>
        <w:t>Tel: +41.22.929.59.20</w:t>
      </w:r>
    </w:p>
    <w:p>
      <w:pPr>
        <w:pStyle w:val="TextBody"/>
        <w:bidi w:val="0"/>
        <w:jc w:val="left"/>
        <w:rPr>
          <w:rFonts w:ascii="Arial;Helvetica;Sans-Serif" w:hAnsi="Arial;Helvetica;Sans-Serif"/>
          <w:b w:val="false"/>
          <w:i w:val="false"/>
          <w:caps w:val="false"/>
          <w:smallCaps w:val="false"/>
          <w:color w:val="0000FF"/>
          <w:sz w:val="24"/>
          <w:u w:val="single"/>
        </w:rPr>
      </w:pPr>
      <w:r>
        <w:rPr>
          <w:rFonts w:ascii="Arial;Helvetica;Sans-Serif" w:hAnsi="Arial;Helvetica;Sans-Serif"/>
          <w:b w:val="false"/>
          <w:i w:val="false"/>
          <w:caps w:val="false"/>
          <w:smallCaps w:val="false"/>
          <w:color w:val="0000FF"/>
          <w:sz w:val="24"/>
          <w:u w:val="single"/>
        </w:rPr>
        <w:t>jerome.ramel@st.com</w:t>
      </w:r>
    </w:p>
    <w:p>
      <w:pPr>
        <w:pStyle w:val="TextBody"/>
        <w:bidi w:val="0"/>
        <w:jc w:val="left"/>
        <w:rPr>
          <w:caps w:val="false"/>
          <w:smallCaps w:val="false"/>
        </w:rPr>
      </w:pPr>
      <w:r>
        <w:rPr>
          <w:caps w:val="false"/>
          <w:smallCaps w:val="false"/>
        </w:rPr>
        <w:t> </w:t>
      </w:r>
    </w:p>
    <w:p>
      <w:pPr>
        <w:pStyle w:val="TextBody"/>
        <w:bidi w:val="0"/>
        <w:jc w:val="left"/>
        <w:rPr>
          <w:rFonts w:ascii="Arial;Helvetica;Sans-Serif" w:hAnsi="Arial;Helvetica;Sans-Serif"/>
          <w:b w:val="false"/>
          <w:i w:val="false"/>
          <w:caps w:val="false"/>
          <w:smallCaps w:val="false"/>
          <w:sz w:val="24"/>
        </w:rPr>
      </w:pPr>
      <w:r>
        <w:rPr>
          <w:rFonts w:ascii="Arial;Helvetica;Sans-Serif" w:hAnsi="Arial;Helvetica;Sans-Serif"/>
          <w:b w:val="false"/>
          <w:i w:val="false"/>
          <w:caps w:val="false"/>
          <w:smallCaps w:val="false"/>
          <w:sz w:val="24"/>
        </w:rPr>
        <w:t>MEDIA RELATIONS</w:t>
      </w:r>
    </w:p>
    <w:p>
      <w:pPr>
        <w:pStyle w:val="TextBody"/>
        <w:bidi w:val="0"/>
        <w:jc w:val="left"/>
        <w:rPr>
          <w:rFonts w:ascii="Arial;Helvetica;Sans-Serif" w:hAnsi="Arial;Helvetica;Sans-Serif"/>
          <w:b w:val="false"/>
          <w:i w:val="false"/>
          <w:caps w:val="false"/>
          <w:smallCaps w:val="false"/>
          <w:sz w:val="24"/>
        </w:rPr>
      </w:pPr>
      <w:r>
        <w:rPr>
          <w:rFonts w:ascii="Arial;Helvetica;Sans-Serif" w:hAnsi="Arial;Helvetica;Sans-Serif"/>
          <w:b w:val="false"/>
          <w:i w:val="false"/>
          <w:caps w:val="false"/>
          <w:smallCaps w:val="false"/>
          <w:sz w:val="24"/>
        </w:rPr>
        <w:t>Alexis Breton</w:t>
      </w:r>
    </w:p>
    <w:p>
      <w:pPr>
        <w:pStyle w:val="TextBody"/>
        <w:bidi w:val="0"/>
        <w:jc w:val="left"/>
        <w:rPr>
          <w:rFonts w:ascii="Arial;Helvetica;Sans-Serif" w:hAnsi="Arial;Helvetica;Sans-Serif"/>
          <w:b w:val="false"/>
          <w:i w:val="false"/>
          <w:caps w:val="false"/>
          <w:smallCaps w:val="false"/>
          <w:sz w:val="24"/>
        </w:rPr>
      </w:pPr>
      <w:r>
        <w:rPr>
          <w:rFonts w:ascii="Arial;Helvetica;Sans-Serif" w:hAnsi="Arial;Helvetica;Sans-Serif"/>
          <w:b w:val="false"/>
          <w:i w:val="false"/>
          <w:caps w:val="false"/>
          <w:smallCaps w:val="false"/>
          <w:sz w:val="24"/>
        </w:rPr>
        <w:t>Group VP Corporate External Communications</w:t>
      </w:r>
    </w:p>
    <w:p>
      <w:pPr>
        <w:pStyle w:val="TextBody"/>
        <w:bidi w:val="0"/>
        <w:jc w:val="left"/>
        <w:rPr>
          <w:rFonts w:ascii="Arial;Helvetica;Sans-Serif" w:hAnsi="Arial;Helvetica;Sans-Serif"/>
          <w:b w:val="false"/>
          <w:i w:val="false"/>
          <w:caps w:val="false"/>
          <w:smallCaps w:val="false"/>
          <w:sz w:val="24"/>
        </w:rPr>
      </w:pPr>
      <w:r>
        <w:rPr>
          <w:rFonts w:ascii="Arial;Helvetica;Sans-Serif" w:hAnsi="Arial;Helvetica;Sans-Serif"/>
          <w:b w:val="false"/>
          <w:i w:val="false"/>
          <w:caps w:val="false"/>
          <w:smallCaps w:val="false"/>
          <w:sz w:val="24"/>
        </w:rPr>
        <w:t>Tel: +33.6.59.16.79.08</w:t>
      </w:r>
    </w:p>
    <w:p>
      <w:pPr>
        <w:pStyle w:val="TextBody"/>
        <w:bidi w:val="0"/>
        <w:jc w:val="left"/>
        <w:rPr>
          <w:rFonts w:ascii="Arial;Helvetica;Sans-Serif" w:hAnsi="Arial;Helvetica;Sans-Serif"/>
          <w:b w:val="false"/>
          <w:i w:val="false"/>
          <w:caps w:val="false"/>
          <w:smallCaps w:val="false"/>
          <w:color w:val="0000FF"/>
          <w:sz w:val="24"/>
          <w:u w:val="single"/>
        </w:rPr>
      </w:pPr>
      <w:r>
        <w:rPr>
          <w:rFonts w:ascii="Arial;Helvetica;Sans-Serif" w:hAnsi="Arial;Helvetica;Sans-Serif"/>
          <w:b w:val="false"/>
          <w:i w:val="false"/>
          <w:caps w:val="false"/>
          <w:smallCaps w:val="false"/>
          <w:color w:val="0000FF"/>
          <w:sz w:val="24"/>
          <w:u w:val="single"/>
        </w:rPr>
        <w:t>alexis.breton@st.com</w:t>
      </w:r>
    </w:p>
    <w:p>
      <w:pPr>
        <w:pStyle w:val="TextBody"/>
        <w:bidi w:val="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tbl>
      <w:tblPr>
        <w:tblW w:w="210" w:type="dxa"/>
        <w:jc w:val="left"/>
        <w:tblInd w:w="0" w:type="dxa"/>
        <w:tblLayout w:type="fixed"/>
        <w:tblCellMar>
          <w:top w:w="0" w:type="dxa"/>
          <w:left w:w="0" w:type="dxa"/>
          <w:bottom w:w="0" w:type="dxa"/>
          <w:right w:w="0" w:type="dxa"/>
        </w:tblCellMar>
      </w:tblPr>
      <w:tblGrid>
        <w:gridCol w:w="75"/>
        <w:gridCol w:w="60"/>
        <w:gridCol w:w="75"/>
      </w:tblGrid>
      <w:tr>
        <w:trPr/>
        <w:tc>
          <w:tcPr>
            <w:tcW w:w="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center"/>
              <w:rPr/>
            </w:pPr>
            <w:r>
              <w:rPr/>
              <w:t> </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jc w:val="left"/>
        <w:rPr>
          <w:caps w:val="false"/>
          <w:smallCaps w:val="false"/>
        </w:rPr>
      </w:pPr>
      <w:r>
        <w:rPr>
          <w:caps w:val="false"/>
          <w:smallCaps w:val="false"/>
        </w:rPr>
        <w:t> </w:t>
      </w:r>
    </w:p>
    <w:p>
      <w:pPr>
        <w:pStyle w:val="TextBody"/>
        <w:bidi w:val="0"/>
        <w:spacing w:before="0" w:after="24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SIGNATURES</w:t>
      </w:r>
    </w:p>
    <w:p>
      <w:pPr>
        <w:pStyle w:val="TextBody"/>
        <w:bidi w:val="0"/>
        <w:spacing w:before="0" w:after="24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Exchange Act of 1934, the registrant has duly caused this report to be signed on its behalf by the undersigned, thereunto duly authorized.</w:t>
      </w:r>
    </w:p>
    <w:tbl>
      <w:tblPr>
        <w:tblW w:w="5225" w:type="dxa"/>
        <w:jc w:val="left"/>
        <w:tblInd w:w="0" w:type="dxa"/>
        <w:tblLayout w:type="fixed"/>
        <w:tblCellMar>
          <w:top w:w="0" w:type="dxa"/>
          <w:left w:w="0" w:type="dxa"/>
          <w:bottom w:w="0" w:type="dxa"/>
          <w:right w:w="0" w:type="dxa"/>
        </w:tblCellMar>
      </w:tblPr>
      <w:tblGrid>
        <w:gridCol w:w="515"/>
        <w:gridCol w:w="1130"/>
        <w:gridCol w:w="545"/>
        <w:gridCol w:w="3035"/>
      </w:tblGrid>
      <w:tr>
        <w:trPr/>
        <w:tc>
          <w:tcPr>
            <w:tcW w:w="515" w:type="dxa"/>
            <w:tcBorders/>
            <w:vAlign w:val="center"/>
          </w:tcPr>
          <w:p>
            <w:pPr>
              <w:pStyle w:val="TableContents"/>
              <w:bidi w:val="0"/>
              <w:spacing w:before="0" w:after="283"/>
              <w:jc w:val="left"/>
              <w:rPr/>
            </w:pPr>
            <w:r>
              <w:rPr/>
              <w:t> </w:t>
            </w:r>
          </w:p>
        </w:tc>
        <w:tc>
          <w:tcPr>
            <w:tcW w:w="1130"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left"/>
              <w:rPr/>
            </w:pPr>
            <w:r>
              <w:rPr/>
              <w:t> </w:t>
            </w:r>
          </w:p>
        </w:tc>
        <w:tc>
          <w:tcPr>
            <w:tcW w:w="3035" w:type="dxa"/>
            <w:tcBorders/>
            <w:vAlign w:val="center"/>
          </w:tcPr>
          <w:p>
            <w:pPr>
              <w:pStyle w:val="TableContents"/>
              <w:bidi w:val="0"/>
              <w:spacing w:before="0" w:after="283"/>
              <w:jc w:val="left"/>
              <w:rPr>
                <w:b/>
                <w:sz w:val="20"/>
              </w:rPr>
            </w:pPr>
            <w:r>
              <w:rPr>
                <w:b/>
                <w:sz w:val="20"/>
              </w:rPr>
              <w:t>STMicroelectronics N.V.</w:t>
            </w:r>
          </w:p>
        </w:tc>
      </w:tr>
      <w:tr>
        <w:trPr/>
        <w:tc>
          <w:tcPr>
            <w:tcW w:w="515" w:type="dxa"/>
            <w:tcBorders/>
            <w:vAlign w:val="center"/>
          </w:tcPr>
          <w:p>
            <w:pPr>
              <w:pStyle w:val="TableContents"/>
              <w:bidi w:val="0"/>
              <w:spacing w:before="0" w:after="283"/>
              <w:jc w:val="left"/>
              <w:rPr/>
            </w:pPr>
            <w:r>
              <w:rPr/>
              <w:t> </w:t>
            </w:r>
          </w:p>
        </w:tc>
        <w:tc>
          <w:tcPr>
            <w:tcW w:w="1130"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left"/>
              <w:rPr/>
            </w:pPr>
            <w:r>
              <w:rPr/>
              <w:t> </w:t>
            </w:r>
          </w:p>
        </w:tc>
        <w:tc>
          <w:tcPr>
            <w:tcW w:w="3035" w:type="dxa"/>
            <w:tcBorders/>
            <w:vAlign w:val="center"/>
          </w:tcPr>
          <w:p>
            <w:pPr>
              <w:pStyle w:val="TableContents"/>
              <w:bidi w:val="0"/>
              <w:spacing w:before="0" w:after="283"/>
              <w:jc w:val="left"/>
              <w:rPr/>
            </w:pPr>
            <w:r>
              <w:rPr/>
              <w:t> </w:t>
            </w:r>
          </w:p>
        </w:tc>
      </w:tr>
      <w:tr>
        <w:trPr/>
        <w:tc>
          <w:tcPr>
            <w:tcW w:w="515" w:type="dxa"/>
            <w:tcBorders/>
            <w:vAlign w:val="center"/>
          </w:tcPr>
          <w:p>
            <w:pPr>
              <w:pStyle w:val="TableContents"/>
              <w:bidi w:val="0"/>
              <w:spacing w:before="0" w:after="283"/>
              <w:jc w:val="left"/>
              <w:rPr>
                <w:sz w:val="20"/>
              </w:rPr>
            </w:pPr>
            <w:r>
              <w:rPr>
                <w:sz w:val="20"/>
              </w:rPr>
              <w:t xml:space="preserve">Date: </w:t>
            </w:r>
          </w:p>
        </w:tc>
        <w:tc>
          <w:tcPr>
            <w:tcW w:w="1130" w:type="dxa"/>
            <w:tcBorders/>
            <w:vAlign w:val="center"/>
          </w:tcPr>
          <w:p>
            <w:pPr>
              <w:pStyle w:val="TableContents"/>
              <w:bidi w:val="0"/>
              <w:spacing w:before="0" w:after="283"/>
              <w:jc w:val="left"/>
              <w:rPr>
                <w:sz w:val="20"/>
              </w:rPr>
            </w:pPr>
            <w:r>
              <w:rPr>
                <w:sz w:val="20"/>
              </w:rPr>
              <w:t>July 13, 2026</w:t>
            </w:r>
          </w:p>
        </w:tc>
        <w:tc>
          <w:tcPr>
            <w:tcW w:w="545" w:type="dxa"/>
            <w:tcBorders/>
            <w:vAlign w:val="center"/>
          </w:tcPr>
          <w:p>
            <w:pPr>
              <w:pStyle w:val="TableContents"/>
              <w:bidi w:val="0"/>
              <w:spacing w:before="0" w:after="283"/>
              <w:jc w:val="left"/>
              <w:rPr>
                <w:sz w:val="20"/>
              </w:rPr>
            </w:pPr>
            <w:r>
              <w:rPr>
                <w:sz w:val="20"/>
              </w:rPr>
              <w:t>By:</w:t>
            </w:r>
          </w:p>
        </w:tc>
        <w:tc>
          <w:tcPr>
            <w:tcW w:w="3035" w:type="dxa"/>
            <w:tcBorders>
              <w:bottom w:val="single" w:sz="8" w:space="0" w:color="000000"/>
            </w:tcBorders>
            <w:tcMar>
              <w:bottom w:w="28" w:type="dxa"/>
            </w:tcMar>
            <w:vAlign w:val="center"/>
          </w:tcPr>
          <w:p>
            <w:pPr>
              <w:pStyle w:val="TableContents"/>
              <w:bidi w:val="0"/>
              <w:spacing w:before="0" w:after="283"/>
              <w:jc w:val="left"/>
              <w:rPr/>
            </w:pPr>
            <w:r>
              <w:rPr/>
              <w:t>          </w:t>
            </w:r>
            <w:r>
              <w:rPr>
                <w:sz w:val="20"/>
              </w:rPr>
              <w:t xml:space="preserve">/s/ </w:t>
            </w:r>
            <w:r>
              <w:rPr>
                <w:smallCaps/>
                <w:sz w:val="20"/>
                <w:shd w:fill="FFFFFF" w:val="clear"/>
              </w:rPr>
              <w:t>Lorenzo Grandi</w:t>
            </w:r>
          </w:p>
        </w:tc>
      </w:tr>
      <w:tr>
        <w:trPr/>
        <w:tc>
          <w:tcPr>
            <w:tcW w:w="515" w:type="dxa"/>
            <w:tcBorders/>
            <w:vAlign w:val="center"/>
          </w:tcPr>
          <w:p>
            <w:pPr>
              <w:pStyle w:val="TableContents"/>
              <w:bidi w:val="0"/>
              <w:spacing w:before="0" w:after="283"/>
              <w:jc w:val="left"/>
              <w:rPr/>
            </w:pPr>
            <w:r>
              <w:rPr/>
              <w:t> </w:t>
            </w:r>
          </w:p>
        </w:tc>
        <w:tc>
          <w:tcPr>
            <w:tcW w:w="1130"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left"/>
              <w:rPr/>
            </w:pPr>
            <w:r>
              <w:rPr/>
              <w:t> </w:t>
            </w:r>
          </w:p>
        </w:tc>
        <w:tc>
          <w:tcPr>
            <w:tcW w:w="3035" w:type="dxa"/>
            <w:tcBorders/>
            <w:vAlign w:val="center"/>
          </w:tcPr>
          <w:p>
            <w:pPr>
              <w:pStyle w:val="TableContents"/>
              <w:bidi w:val="0"/>
              <w:spacing w:before="0" w:after="283"/>
              <w:jc w:val="left"/>
              <w:rPr/>
            </w:pPr>
            <w:r>
              <w:rPr/>
              <w:t> </w:t>
            </w:r>
          </w:p>
        </w:tc>
      </w:tr>
      <w:tr>
        <w:trPr/>
        <w:tc>
          <w:tcPr>
            <w:tcW w:w="515" w:type="dxa"/>
            <w:tcBorders/>
            <w:vAlign w:val="center"/>
          </w:tcPr>
          <w:p>
            <w:pPr>
              <w:pStyle w:val="TableContents"/>
              <w:bidi w:val="0"/>
              <w:spacing w:before="0" w:after="283"/>
              <w:jc w:val="left"/>
              <w:rPr/>
            </w:pPr>
            <w:r>
              <w:rPr/>
              <w:t> </w:t>
            </w:r>
          </w:p>
        </w:tc>
        <w:tc>
          <w:tcPr>
            <w:tcW w:w="1130"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left"/>
              <w:rPr>
                <w:sz w:val="20"/>
              </w:rPr>
            </w:pPr>
            <w:r>
              <w:rPr>
                <w:sz w:val="20"/>
              </w:rPr>
              <w:t>Name:</w:t>
            </w:r>
          </w:p>
        </w:tc>
        <w:tc>
          <w:tcPr>
            <w:tcW w:w="3035" w:type="dxa"/>
            <w:tcBorders/>
            <w:vAlign w:val="center"/>
          </w:tcPr>
          <w:p>
            <w:pPr>
              <w:pStyle w:val="TableContents"/>
              <w:bidi w:val="0"/>
              <w:spacing w:before="0" w:after="283"/>
              <w:jc w:val="left"/>
              <w:rPr>
                <w:sz w:val="20"/>
                <w:shd w:fill="FFFFFF" w:val="clear"/>
              </w:rPr>
            </w:pPr>
            <w:r>
              <w:rPr>
                <w:sz w:val="20"/>
                <w:shd w:fill="FFFFFF" w:val="clear"/>
              </w:rPr>
              <w:t>Lorenzo Grandi</w:t>
            </w:r>
          </w:p>
        </w:tc>
      </w:tr>
      <w:tr>
        <w:trPr/>
        <w:tc>
          <w:tcPr>
            <w:tcW w:w="515" w:type="dxa"/>
            <w:tcBorders/>
            <w:vAlign w:val="center"/>
          </w:tcPr>
          <w:p>
            <w:pPr>
              <w:pStyle w:val="TableContents"/>
              <w:bidi w:val="0"/>
              <w:spacing w:before="0" w:after="283"/>
              <w:jc w:val="left"/>
              <w:rPr/>
            </w:pPr>
            <w:r>
              <w:rPr/>
              <w:t> </w:t>
            </w:r>
          </w:p>
        </w:tc>
        <w:tc>
          <w:tcPr>
            <w:tcW w:w="1130"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left"/>
              <w:rPr>
                <w:sz w:val="20"/>
              </w:rPr>
            </w:pPr>
            <w:r>
              <w:rPr>
                <w:sz w:val="20"/>
              </w:rPr>
              <w:t>Title:</w:t>
            </w:r>
          </w:p>
        </w:tc>
        <w:tc>
          <w:tcPr>
            <w:tcW w:w="3035" w:type="dxa"/>
            <w:tcBorders/>
            <w:vAlign w:val="center"/>
          </w:tcPr>
          <w:p>
            <w:pPr>
              <w:pStyle w:val="TableContents"/>
              <w:bidi w:val="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President and Chief Financial Officer</w:t>
            </w:r>
          </w:p>
          <w:p>
            <w:pPr>
              <w:pStyle w:val="TableContents"/>
              <w:bidi w:val="0"/>
              <w:spacing w:before="0" w:after="283"/>
              <w:jc w:val="left"/>
              <w:rPr>
                <w:caps w:val="false"/>
                <w:smallCaps w:val="false"/>
              </w:rPr>
            </w:pPr>
            <w:r>
              <w:rPr>
                <w:caps w:val="false"/>
                <w:smallCaps w:val="false"/>
              </w:rPr>
              <w:t> </w:t>
            </w:r>
          </w:p>
        </w:tc>
      </w:tr>
    </w:tbl>
    <w:p>
      <w:pPr>
        <w:pStyle w:val="TextBody"/>
        <w:bidi w:val="0"/>
        <w:spacing w:lineRule="auto" w:line="247" w:before="1" w:after="1"/>
        <w:ind w:left="147" w:right="147" w:hanging="0"/>
        <w:jc w:val="left"/>
        <w:rPr>
          <w:caps w:val="false"/>
          <w:smallCaps w:val="false"/>
        </w:rPr>
      </w:pPr>
      <w:r>
        <w:rPr>
          <w:caps w:val="false"/>
          <w:smallCaps w:val="false"/>
        </w:rPr>
        <w:t> </w:t>
      </w:r>
    </w:p>
    <w:p>
      <w:pPr>
        <w:pStyle w:val="TextBody"/>
        <w:bidi w:val="0"/>
        <w:spacing w:lineRule="auto" w:line="247" w:before="1" w:after="1"/>
        <w:ind w:left="147" w:right="147" w:hanging="0"/>
        <w:jc w:val="left"/>
        <w:rPr>
          <w:caps w:val="false"/>
          <w:smallCaps w:val="false"/>
        </w:rPr>
      </w:pPr>
      <w:r>
        <w:rPr>
          <w:caps w:val="false"/>
          <w:smallCaps w:val="false"/>
        </w:rPr>
        <w:t> </w:t>
      </w:r>
    </w:p>
    <w:p>
      <w:pPr>
        <w:pStyle w:val="TextBody"/>
        <w:bidi w:val="0"/>
        <w:spacing w:lineRule="auto" w:line="247" w:before="1" w:after="1"/>
        <w:ind w:left="147" w:right="147" w:hanging="0"/>
        <w:jc w:val="left"/>
        <w:rPr>
          <w:caps w:val="false"/>
          <w:smallCaps w:val="false"/>
        </w:rPr>
      </w:pPr>
      <w:r>
        <w:rPr>
          <w:caps w:val="false"/>
          <w:smallCaps w:val="false"/>
        </w:rPr>
        <w:t> </w:t>
      </w:r>
    </w:p>
    <w:p>
      <w:pPr>
        <w:pStyle w:val="TextBody"/>
        <w:bidi w:val="0"/>
        <w:spacing w:lineRule="auto" w:line="247" w:before="1" w:after="1"/>
        <w:ind w:left="147" w:right="147" w:hanging="0"/>
        <w:jc w:val="left"/>
        <w:rPr>
          <w:caps w:val="false"/>
          <w:smallCaps w:val="false"/>
        </w:rPr>
      </w:pPr>
      <w:r>
        <w:rPr>
          <w:caps w:val="false"/>
          <w:smallCaps w:val="false"/>
        </w:rPr>
        <w:t> </w:t>
      </w:r>
    </w:p>
    <w:p>
      <w:pPr>
        <w:pStyle w:val="TextBody"/>
        <w:bidi w:val="0"/>
        <w:spacing w:lineRule="auto" w:line="247" w:before="1" w:after="1"/>
        <w:ind w:left="147" w:right="147" w:hanging="0"/>
        <w:jc w:val="left"/>
        <w:rPr>
          <w:caps w:val="false"/>
          <w:smallCaps w:val="false"/>
        </w:rPr>
      </w:pPr>
      <w:r>
        <w:rPr>
          <w:caps w:val="false"/>
          <w:smallCaps w:val="false"/>
        </w:rPr>
        <w:t> </w:t>
      </w:r>
    </w:p>
    <w:p>
      <w:pPr>
        <w:pStyle w:val="TextBody"/>
        <w:bidi w:val="0"/>
        <w:spacing w:lineRule="auto" w:line="247" w:before="1" w:after="1"/>
        <w:ind w:left="147" w:right="147" w:hanging="0"/>
        <w:jc w:val="left"/>
        <w:rPr>
          <w:caps w:val="false"/>
          <w:smallCaps w:val="false"/>
        </w:rPr>
      </w:pPr>
      <w:r>
        <w:rPr>
          <w:caps w:val="false"/>
          <w:smallCaps w:val="false"/>
        </w:rPr>
        <w:t> </w:t>
      </w:r>
    </w:p>
    <w:p>
      <w:pPr>
        <w:pStyle w:val="TextBody"/>
        <w:bidi w:val="0"/>
        <w:spacing w:lineRule="auto" w:line="247" w:before="1" w:after="1"/>
        <w:ind w:left="147" w:right="147" w:hanging="0"/>
        <w:jc w:val="left"/>
        <w:rPr>
          <w:caps w:val="false"/>
          <w:smallCaps w:val="false"/>
        </w:rPr>
      </w:pPr>
      <w:r>
        <w:rPr>
          <w:caps w:val="false"/>
          <w:smallCaps w:val="false"/>
        </w:rPr>
        <w:t> </w:t>
      </w:r>
    </w:p>
    <w:p>
      <w:pPr>
        <w:pStyle w:val="TextBody"/>
        <w:bidi w:val="0"/>
        <w:spacing w:lineRule="auto" w:line="247" w:before="1" w:after="1"/>
        <w:ind w:left="147" w:right="147" w:hanging="0"/>
        <w:jc w:val="left"/>
        <w:rPr>
          <w:caps w:val="false"/>
          <w:smallCaps w:val="false"/>
        </w:rPr>
      </w:pPr>
      <w:r>
        <w:rPr>
          <w:caps w:val="false"/>
          <w:smallCaps w:val="false"/>
        </w:rPr>
        <w:t> </w:t>
      </w:r>
    </w:p>
    <w:p>
      <w:pPr>
        <w:pStyle w:val="TextBody"/>
        <w:bidi w:val="0"/>
        <w:spacing w:lineRule="auto" w:line="247" w:before="1" w:after="1"/>
        <w:ind w:left="147" w:right="147" w:hanging="0"/>
        <w:jc w:val="left"/>
        <w:rPr>
          <w:caps w:val="false"/>
          <w:smallCaps w:val="false"/>
        </w:rPr>
      </w:pPr>
      <w:r>
        <w:rPr>
          <w:caps w:val="false"/>
          <w:smallCaps w:val="false"/>
        </w:rPr>
        <w:t> </w:t>
      </w:r>
    </w:p>
    <w:p>
      <w:pPr>
        <w:pStyle w:val="TextBody"/>
        <w:bidi w:val="0"/>
        <w:spacing w:lineRule="auto" w:line="247" w:before="1" w:after="1"/>
        <w:ind w:left="147" w:right="147" w:hanging="0"/>
        <w:jc w:val="left"/>
        <w:rPr>
          <w:caps w:val="false"/>
          <w:smallCaps w:val="false"/>
        </w:rPr>
      </w:pPr>
      <w:r>
        <w:rPr>
          <w:caps w:val="false"/>
          <w:smallCaps w:val="false"/>
        </w:rPr>
        <w:t> </w:t>
      </w:r>
    </w:p>
    <w:p>
      <w:pPr>
        <w:pStyle w:val="TextBody"/>
        <w:bidi w:val="0"/>
        <w:spacing w:lineRule="auto" w:line="247" w:before="1" w:after="1"/>
        <w:ind w:left="147" w:right="147" w:hanging="0"/>
        <w:jc w:val="left"/>
        <w:rPr>
          <w:caps w:val="false"/>
          <w:smallCaps w:val="false"/>
        </w:rPr>
      </w:pPr>
      <w:r>
        <w:rPr>
          <w:caps w:val="false"/>
          <w:smallCaps w:val="false"/>
        </w:rPr>
        <w:t> </w:t>
      </w:r>
    </w:p>
    <w:p>
      <w:pPr>
        <w:pStyle w:val="TextBody"/>
        <w:bidi w:val="0"/>
        <w:spacing w:lineRule="auto" w:line="247" w:before="1" w:after="1"/>
        <w:ind w:left="147" w:right="147" w:hanging="0"/>
        <w:jc w:val="left"/>
        <w:rPr>
          <w:caps w:val="false"/>
          <w:smallCaps w:val="false"/>
        </w:rPr>
      </w:pPr>
      <w:r>
        <w:rPr>
          <w:caps w:val="false"/>
          <w:smallCaps w:val="false"/>
        </w:rPr>
        <w:t> </w:t>
      </w:r>
    </w:p>
    <w:p>
      <w:pPr>
        <w:pStyle w:val="TextBody"/>
        <w:bidi w:val="0"/>
        <w:spacing w:lineRule="auto" w:line="247" w:before="1" w:after="1"/>
        <w:ind w:left="147" w:right="147" w:hanging="0"/>
        <w:jc w:val="left"/>
        <w:rPr>
          <w:caps w:val="false"/>
          <w:smallCaps w:val="false"/>
        </w:rPr>
      </w:pPr>
      <w:r>
        <w:rPr>
          <w:caps w:val="false"/>
          <w:smallCaps w:val="false"/>
        </w:rPr>
        <w:t> </w:t>
      </w:r>
    </w:p>
    <w:p>
      <w:pPr>
        <w:pStyle w:val="TextBody"/>
        <w:bidi w:val="0"/>
        <w:spacing w:lineRule="auto" w:line="247" w:before="1" w:after="1"/>
        <w:ind w:left="147" w:right="147" w:hanging="0"/>
        <w:jc w:val="left"/>
        <w:rPr>
          <w:caps w:val="false"/>
          <w:smallCaps w:val="false"/>
        </w:rPr>
      </w:pPr>
      <w:r>
        <w:rPr>
          <w:caps w:val="false"/>
          <w:smallCaps w:val="false"/>
        </w:rPr>
        <w:t> </w:t>
      </w:r>
    </w:p>
    <w:p>
      <w:pPr>
        <w:pStyle w:val="TextBody"/>
        <w:bidi w:val="0"/>
        <w:spacing w:lineRule="auto" w:line="247" w:before="1" w:after="1"/>
        <w:ind w:left="147" w:right="147" w:hanging="0"/>
        <w:jc w:val="left"/>
        <w:rPr>
          <w:caps w:val="false"/>
          <w:smallCaps w:val="false"/>
        </w:rPr>
      </w:pPr>
      <w:r>
        <w:rPr>
          <w:caps w:val="false"/>
          <w:smallCaps w:val="false"/>
        </w:rPr>
        <w:t> </w:t>
      </w:r>
    </w:p>
    <w:p>
      <w:pPr>
        <w:pStyle w:val="TextBody"/>
        <w:bidi w:val="0"/>
        <w:spacing w:lineRule="auto" w:line="247" w:before="1" w:after="1"/>
        <w:ind w:left="147" w:right="147" w:hanging="0"/>
        <w:jc w:val="left"/>
        <w:rPr>
          <w:caps w:val="false"/>
          <w:smallCaps w:val="false"/>
        </w:rPr>
      </w:pPr>
      <w:r>
        <w:rPr>
          <w:caps w:val="false"/>
          <w:smallCaps w:val="false"/>
        </w:rPr>
        <w:t> </w:t>
      </w:r>
    </w:p>
    <w:p>
      <w:pPr>
        <w:pStyle w:val="TextBody"/>
        <w:bidi w:val="0"/>
        <w:spacing w:lineRule="auto" w:line="247" w:before="1" w:after="1"/>
        <w:ind w:left="147" w:right="147" w:hanging="0"/>
        <w:jc w:val="left"/>
        <w:rPr>
          <w:caps w:val="false"/>
          <w:smallCaps w:val="false"/>
        </w:rPr>
      </w:pPr>
      <w:r>
        <w:rPr>
          <w:caps w:val="false"/>
          <w:smallCaps w:val="false"/>
        </w:rPr>
        <w:t> </w:t>
      </w:r>
    </w:p>
    <w:p>
      <w:pPr>
        <w:pStyle w:val="TextBody"/>
        <w:bidi w:val="0"/>
        <w:spacing w:lineRule="auto" w:line="247" w:before="1" w:after="1"/>
        <w:ind w:left="147" w:right="147" w:hanging="0"/>
        <w:jc w:val="left"/>
        <w:rPr>
          <w:caps w:val="false"/>
          <w:smallCaps w:val="false"/>
        </w:rPr>
      </w:pPr>
      <w:r>
        <w:rPr>
          <w:caps w:val="false"/>
          <w:smallCaps w:val="false"/>
        </w:rPr>
        <w:t> </w:t>
      </w:r>
    </w:p>
    <w:p>
      <w:pPr>
        <w:pStyle w:val="TextBody"/>
        <w:bidi w:val="0"/>
        <w:spacing w:lineRule="auto" w:line="247" w:before="1" w:after="1"/>
        <w:ind w:left="147" w:right="147" w:hanging="0"/>
        <w:jc w:val="left"/>
        <w:rPr>
          <w:caps w:val="false"/>
          <w:smallCaps w:val="false"/>
        </w:rPr>
      </w:pPr>
      <w:r>
        <w:rPr>
          <w:caps w:val="false"/>
          <w:smallCaps w:val="false"/>
        </w:rPr>
        <w:t> </w:t>
      </w:r>
    </w:p>
    <w:p>
      <w:pPr>
        <w:pStyle w:val="TextBody"/>
        <w:bidi w:val="0"/>
        <w:spacing w:lineRule="auto" w:line="247" w:before="1" w:after="1"/>
        <w:ind w:left="147" w:right="147" w:hanging="0"/>
        <w:jc w:val="left"/>
        <w:rPr>
          <w:caps w:val="false"/>
          <w:smallCaps w:val="false"/>
        </w:rPr>
      </w:pPr>
      <w:r>
        <w:rPr>
          <w:caps w:val="false"/>
          <w:smallCaps w:val="false"/>
        </w:rPr>
        <w:t> </w:t>
      </w:r>
    </w:p>
    <w:p>
      <w:pPr>
        <w:pStyle w:val="TextBody"/>
        <w:bidi w:val="0"/>
        <w:spacing w:lineRule="auto" w:line="247" w:before="1" w:after="1"/>
        <w:ind w:left="147" w:right="147" w:hanging="0"/>
        <w:jc w:val="left"/>
        <w:rPr>
          <w:caps w:val="false"/>
          <w:smallCaps w:val="false"/>
        </w:rPr>
      </w:pPr>
      <w:r>
        <w:rPr>
          <w:caps w:val="false"/>
          <w:smallCaps w:val="false"/>
        </w:rPr>
        <w:t> </w:t>
      </w:r>
    </w:p>
    <w:p>
      <w:pPr>
        <w:pStyle w:val="TextBody"/>
        <w:bidi w:val="0"/>
        <w:spacing w:lineRule="auto" w:line="247" w:before="1" w:after="1"/>
        <w:ind w:left="147" w:right="147" w:hanging="0"/>
        <w:jc w:val="left"/>
        <w:rPr>
          <w:caps w:val="false"/>
          <w:smallCaps w:val="false"/>
        </w:rPr>
      </w:pPr>
      <w:r>
        <w:rPr>
          <w:caps w:val="false"/>
          <w:smallCaps w:val="false"/>
        </w:rPr>
        <w:t> </w:t>
      </w:r>
    </w:p>
    <w:p>
      <w:pPr>
        <w:pStyle w:val="TextBody"/>
        <w:bidi w:val="0"/>
        <w:spacing w:lineRule="auto" w:line="247" w:before="1" w:after="1"/>
        <w:ind w:left="147" w:right="147" w:hanging="0"/>
        <w:jc w:val="left"/>
        <w:rPr>
          <w:caps w:val="false"/>
          <w:smallCaps w:val="false"/>
        </w:rPr>
      </w:pPr>
      <w:r>
        <w:rPr>
          <w:caps w:val="false"/>
          <w:smallCaps w:val="false"/>
        </w:rPr>
        <w:t> </w:t>
      </w:r>
    </w:p>
    <w:p>
      <w:pPr>
        <w:pStyle w:val="TextBody"/>
        <w:bidi w:val="0"/>
        <w:spacing w:lineRule="auto" w:line="247" w:before="1" w:after="1"/>
        <w:ind w:left="147" w:right="147" w:hanging="0"/>
        <w:jc w:val="left"/>
        <w:rPr>
          <w:caps w:val="false"/>
          <w:smallCaps w:val="false"/>
        </w:rPr>
      </w:pPr>
      <w:r>
        <w:rPr>
          <w:caps w:val="false"/>
          <w:smallCaps w:val="false"/>
        </w:rPr>
        <w:t> </w:t>
      </w:r>
    </w:p>
    <w:p>
      <w:pPr>
        <w:pStyle w:val="TextBody"/>
        <w:bidi w:val="0"/>
        <w:spacing w:lineRule="auto" w:line="247" w:before="1" w:after="1"/>
        <w:ind w:left="147" w:right="147" w:hanging="0"/>
        <w:jc w:val="left"/>
        <w:rPr>
          <w:caps w:val="false"/>
          <w:smallCaps w:val="false"/>
        </w:rPr>
      </w:pPr>
      <w:r>
        <w:rPr>
          <w:caps w:val="false"/>
          <w:smallCaps w:val="false"/>
        </w:rPr>
        <w:t> </w:t>
      </w:r>
    </w:p>
    <w:p>
      <w:pPr>
        <w:pStyle w:val="TextBody"/>
        <w:bidi w:val="0"/>
        <w:spacing w:lineRule="auto" w:line="247" w:before="1" w:after="1"/>
        <w:ind w:left="147" w:right="147" w:hanging="0"/>
        <w:jc w:val="left"/>
        <w:rPr>
          <w:caps w:val="false"/>
          <w:smallCaps w:val="false"/>
        </w:rPr>
      </w:pPr>
      <w:r>
        <w:rPr>
          <w:caps w:val="false"/>
          <w:smallCaps w:val="false"/>
        </w:rPr>
        <w:t> </w:t>
      </w:r>
    </w:p>
    <w:p>
      <w:pPr>
        <w:pStyle w:val="TextBody"/>
        <w:bidi w:val="0"/>
        <w:spacing w:lineRule="auto" w:line="247" w:before="1" w:after="1"/>
        <w:ind w:left="147" w:right="147" w:hanging="0"/>
        <w:jc w:val="left"/>
        <w:rPr>
          <w:caps w:val="false"/>
          <w:smallCaps w:val="false"/>
        </w:rPr>
      </w:pPr>
      <w:r>
        <w:rPr>
          <w:caps w:val="false"/>
          <w:smallCaps w:val="false"/>
        </w:rPr>
        <w:t> </w:t>
      </w:r>
    </w:p>
    <w:p>
      <w:pPr>
        <w:pStyle w:val="TextBody"/>
        <w:bidi w:val="0"/>
        <w:spacing w:lineRule="auto" w:line="247" w:before="1" w:after="1"/>
        <w:ind w:left="147" w:right="147" w:hanging="0"/>
        <w:jc w:val="left"/>
        <w:rPr>
          <w:caps w:val="false"/>
          <w:smallCaps w:val="false"/>
        </w:rPr>
      </w:pPr>
      <w:r>
        <w:rPr>
          <w:caps w:val="false"/>
          <w:smallCaps w:val="false"/>
        </w:rPr>
        <w:t> </w:t>
      </w:r>
    </w:p>
    <w:p>
      <w:pPr>
        <w:pStyle w:val="TextBody"/>
        <w:bidi w:val="0"/>
        <w:spacing w:lineRule="auto" w:line="247" w:before="1" w:after="1"/>
        <w:ind w:left="147" w:right="147" w:hanging="0"/>
        <w:jc w:val="left"/>
        <w:rPr>
          <w:caps w:val="false"/>
          <w:smallCaps w:val="false"/>
        </w:rPr>
      </w:pPr>
      <w:r>
        <w:rPr>
          <w:caps w:val="false"/>
          <w:smallCaps w:val="false"/>
        </w:rPr>
        <w:t> </w:t>
      </w:r>
    </w:p>
    <w:p>
      <w:pPr>
        <w:pStyle w:val="TextBody"/>
        <w:bidi w:val="0"/>
        <w:spacing w:before="60" w:after="60"/>
        <w:ind w:left="147" w:right="147" w:hanging="0"/>
        <w:jc w:val="left"/>
        <w:rPr>
          <w:bdr w:val="single" w:sz="16" w:space="1" w:color="000000"/>
        </w:rPr>
      </w:pPr>
      <w:r>
        <w:rPr>
          <w:bdr w:val="single" w:sz="16" w:space="1" w:color="000000"/>
        </w:rPr>
        <w:t> </w:t>
      </w:r>
    </w:p>
    <w:p>
      <w:pPr>
        <w:pStyle w:val="TextBody"/>
        <w:bidi w:val="0"/>
        <w:spacing w:lineRule="auto" w:line="247" w:before="1" w:after="1"/>
        <w:ind w:left="147" w:right="147" w:hanging="0"/>
        <w:jc w:val="left"/>
        <w:rPr>
          <w:caps w:val="false"/>
          <w:smallCaps w:val="false"/>
        </w:rPr>
      </w:pPr>
      <w:r>
        <w:rPr>
          <w:caps w:val="false"/>
          <w:smallCaps w:val="false"/>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 w:name="Wingdings">
    <w:charset w:val="02"/>
    <w:family w:val="auto"/>
    <w:pitch w:val="default"/>
  </w:font>
  <w:font w:name="Arial">
    <w:altName w:val="Helvetica"/>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737</Words>
  <Characters>4307</Characters>
  <CharactersWithSpaces>5113</CharactersWithSpaces>
  <Paragraphs>183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