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6743381_6k.htm"/>
      <w:bookmarkStart w:id="1" w:name="ksss6743381_6k"/>
      <w:bookmarkEnd w:id="0"/>
      <w:bookmarkEnd w:id="1"/>
      <w:r>
        <w:rPr/>
        <w:t> </w:t>
      </w:r>
    </w:p>
    <w:p>
      <w:pPr>
        <w:pStyle w:val="TextBody"/>
        <w:bidi w:val="0"/>
        <w:jc w:val="left"/>
        <w:rPr>
          <w:caps w:val="false"/>
          <w:smallCaps w:val="false"/>
        </w:rPr>
      </w:pPr>
      <w:r>
        <w:rPr>
          <w:caps w:val="false"/>
          <w:smallCaps w:val="false"/>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4" w:after="4"/>
        <w:ind w:left="4" w:right="4" w:hanging="0"/>
        <w:jc w:val="left"/>
        <w:rPr>
          <w:caps w:val="false"/>
          <w:smallCaps w:val="false"/>
        </w:rPr>
      </w:pPr>
      <w:r>
        <w:rPr>
          <w:caps w:val="false"/>
          <w:smallCaps w:val="false"/>
        </w:rPr>
        <w:t> </w:t>
      </w:r>
    </w:p>
    <w:p>
      <w:pPr>
        <w:pStyle w:val="TextBody"/>
        <w:bidi w:val="0"/>
        <w:spacing w:before="91"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pacing w:val="-8"/>
          <w:sz w:val="20"/>
        </w:rPr>
        <w:t xml:space="preserve">UNITED </w:t>
      </w:r>
      <w:r>
        <w:rPr>
          <w:rFonts w:ascii="Times New Roman;Times;Serif" w:hAnsi="Times New Roman;Times;Serif"/>
          <w:b/>
          <w:i w:val="false"/>
          <w:caps w:val="false"/>
          <w:smallCaps w:val="false"/>
          <w:color w:val="231F20"/>
          <w:spacing w:val="-2"/>
          <w:sz w:val="20"/>
        </w:rPr>
        <w:t>STATES</w:t>
      </w:r>
    </w:p>
    <w:p>
      <w:pPr>
        <w:pStyle w:val="TextBody"/>
        <w:bidi w:val="0"/>
        <w:spacing w:before="10" w:after="283"/>
        <w:jc w:val="center"/>
        <w:rPr>
          <w:rFonts w:ascii="Times New Roman;Times;Serif" w:hAnsi="Times New Roman;Times;Serif"/>
          <w:b/>
          <w:i w:val="false"/>
          <w:caps w:val="false"/>
          <w:smallCaps w:val="false"/>
          <w:color w:val="231F20"/>
          <w:spacing w:val="-8"/>
          <w:sz w:val="20"/>
        </w:rPr>
      </w:pPr>
      <w:r>
        <w:rPr>
          <w:rFonts w:ascii="Times New Roman;Times;Serif" w:hAnsi="Times New Roman;Times;Serif"/>
          <w:b/>
          <w:i w:val="false"/>
          <w:caps w:val="false"/>
          <w:smallCaps w:val="false"/>
          <w:color w:val="231F20"/>
          <w:spacing w:val="-8"/>
          <w:sz w:val="20"/>
        </w:rPr>
        <w:t>SECURITIES AND EXCHANGE COMMISSION</w:t>
      </w:r>
    </w:p>
    <w:p>
      <w:pPr>
        <w:pStyle w:val="TextBody"/>
        <w:bidi w:val="0"/>
        <w:spacing w:before="10" w:after="10"/>
        <w:ind w:left="422" w:right="372" w:hanging="0"/>
        <w:jc w:val="center"/>
        <w:rPr>
          <w:rFonts w:ascii="Times New Roman;Times;Serif" w:hAnsi="Times New Roman;Times;Serif"/>
          <w:b/>
          <w:i w:val="false"/>
          <w:caps w:val="false"/>
          <w:smallCaps w:val="false"/>
          <w:color w:val="231F20"/>
          <w:spacing w:val="-2"/>
          <w:sz w:val="20"/>
        </w:rPr>
      </w:pPr>
      <w:r>
        <w:rPr>
          <w:rFonts w:ascii="Times New Roman;Times;Serif" w:hAnsi="Times New Roman;Times;Serif"/>
          <w:b/>
          <w:i w:val="false"/>
          <w:caps w:val="false"/>
          <w:smallCaps w:val="false"/>
          <w:color w:val="231F20"/>
          <w:spacing w:val="-2"/>
          <w:sz w:val="20"/>
        </w:rPr>
        <w:t>Washington, D.C. 20549</w:t>
      </w:r>
    </w:p>
    <w:p>
      <w:pPr>
        <w:pStyle w:val="TextBody"/>
        <w:bidi w:val="0"/>
        <w:spacing w:before="10" w:after="10"/>
        <w:ind w:left="10" w:right="10" w:hanging="0"/>
        <w:jc w:val="left"/>
        <w:rPr>
          <w:caps w:val="false"/>
          <w:smallCaps w:val="false"/>
        </w:rPr>
      </w:pPr>
      <w:r>
        <w:rPr>
          <w:caps w:val="false"/>
          <w:smallCaps w:val="false"/>
        </w:rPr>
        <w:t> </w:t>
      </w:r>
    </w:p>
    <w:p>
      <w:pPr>
        <w:pStyle w:val="TextBody"/>
        <w:bidi w:val="0"/>
        <w:spacing w:before="240" w:after="200"/>
        <w:ind w:left="240" w:right="24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lineRule="auto" w:line="247" w:before="258"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pacing w:val="-2"/>
          <w:sz w:val="20"/>
        </w:rPr>
        <w:t xml:space="preserve">REPORT OF FOREIGN PRIVATE ISSUER PURSUANT TO RULE 13a-16 OR 15d-16 UNDER THE </w:t>
      </w:r>
      <w:r>
        <w:rPr>
          <w:rFonts w:ascii="Times New Roman;Times;Serif" w:hAnsi="Times New Roman;Times;Serif"/>
          <w:b/>
          <w:i w:val="false"/>
          <w:caps w:val="false"/>
          <w:smallCaps w:val="false"/>
          <w:color w:val="231F20"/>
          <w:sz w:val="20"/>
        </w:rPr>
        <w:t>SECURITIES EXCHANGE ACT OF 1934</w:t>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lineRule="auto" w:line="499"/>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month of August, 2026 </w:t>
      </w:r>
    </w:p>
    <w:p>
      <w:pPr>
        <w:pStyle w:val="TextBody"/>
        <w:bidi w:val="0"/>
        <w:spacing w:lineRule="auto" w:line="499"/>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Commission File Number: 1-13546</w:t>
      </w:r>
    </w:p>
    <w:p>
      <w:pPr>
        <w:pStyle w:val="TextBody"/>
        <w:bidi w:val="0"/>
        <w:spacing w:lineRule="auto" w:line="499"/>
        <w:ind w:left="165" w:right="307" w:hanging="0"/>
        <w:jc w:val="center"/>
        <w:rPr>
          <w:caps w:val="false"/>
          <w:smallCaps w:val="false"/>
        </w:rPr>
      </w:pPr>
      <w:r>
        <w:rPr>
          <w:caps w:val="false"/>
          <w:smallCaps w:val="false"/>
        </w:rPr>
        <w:t> </w:t>
      </w:r>
    </w:p>
    <w:p>
      <w:pPr>
        <w:pStyle w:val="TextBody"/>
        <w:pBdr>
          <w:bottom w:val="single" w:sz="4" w:space="1" w:color="000000"/>
        </w:pBdr>
        <w:bidi w:val="0"/>
        <w:spacing w:before="5" w:after="5"/>
        <w:ind w:left="5" w:right="5"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STMicroelectronics N.V.</w:t>
      </w:r>
    </w:p>
    <w:p>
      <w:pPr>
        <w:pStyle w:val="TextBody"/>
        <w:bidi w:val="0"/>
        <w:spacing w:before="5" w:after="5"/>
        <w:ind w:left="5" w:right="5" w:hanging="0"/>
        <w:jc w:val="left"/>
        <w:rPr>
          <w:caps w:val="false"/>
          <w:smallCaps w:val="false"/>
        </w:rPr>
      </w:pPr>
      <w:r>
        <w:rPr>
          <w:caps w:val="false"/>
          <w:smallCaps w:val="false"/>
        </w:rPr>
        <w:t> </w:t>
      </w:r>
    </w:p>
    <w:p>
      <w:pPr>
        <w:pStyle w:val="TextBody"/>
        <w:bidi w:val="0"/>
        <w:spacing w:before="10" w:after="283"/>
        <w:jc w:val="center"/>
        <w:rPr>
          <w:rFonts w:ascii="Times New Roman;Times;Serif" w:hAnsi="Times New Roman;Times;Serif"/>
          <w:b w:val="false"/>
          <w:i w:val="false"/>
          <w:caps w:val="false"/>
          <w:smallCaps w:val="false"/>
          <w:color w:val="231F20"/>
          <w:spacing w:val="-2"/>
          <w:sz w:val="20"/>
        </w:rPr>
      </w:pPr>
      <w:r>
        <w:rPr>
          <w:rFonts w:ascii="Times New Roman;Times;Serif" w:hAnsi="Times New Roman;Times;Serif"/>
          <w:b w:val="false"/>
          <w:i w:val="false"/>
          <w:caps w:val="false"/>
          <w:smallCaps w:val="false"/>
          <w:color w:val="231F20"/>
          <w:spacing w:val="-2"/>
          <w:sz w:val="20"/>
        </w:rPr>
        <w:t>(Name of Registrant)</w:t>
      </w:r>
    </w:p>
    <w:p>
      <w:pPr>
        <w:pStyle w:val="TextBody"/>
        <w:bidi w:val="0"/>
        <w:jc w:val="left"/>
        <w:rPr>
          <w:caps w:val="false"/>
          <w:smallCaps w:val="false"/>
        </w:rPr>
      </w:pPr>
      <w:r>
        <w:rPr>
          <w:caps w:val="false"/>
          <w:smallCaps w:val="false"/>
        </w:rPr>
        <w:t> </w:t>
      </w:r>
    </w:p>
    <w:p>
      <w:pPr>
        <w:pStyle w:val="TextBody"/>
        <w:pBdr>
          <w:bottom w:val="single" w:sz="4" w:space="1" w:color="000000"/>
        </w:pBdr>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WTC Schiphol Airport</w:t>
        <w:br/>
        <w:t>Schiphol Boulevard 265</w:t>
        <w:br/>
        <w:t>1118 BH Schiphol Airport</w:t>
        <w:br/>
        <w:t>The Netherlands</w:t>
      </w:r>
    </w:p>
    <w:p>
      <w:pPr>
        <w:pStyle w:val="TextBody"/>
        <w:bidi w:val="0"/>
        <w:spacing w:before="5" w:after="5"/>
        <w:ind w:left="5" w:right="5" w:hanging="0"/>
        <w:jc w:val="left"/>
        <w:rPr>
          <w:caps w:val="false"/>
          <w:smallCaps w:val="false"/>
        </w:rPr>
      </w:pPr>
      <w:r>
        <w:rPr>
          <w:caps w:val="false"/>
          <w:smallCaps w:val="false"/>
        </w:rPr>
        <w:t> </w:t>
      </w:r>
    </w:p>
    <w:p>
      <w:pPr>
        <w:pStyle w:val="TextBody"/>
        <w:bidi w:val="0"/>
        <w:spacing w:before="10" w:after="283"/>
        <w:jc w:val="center"/>
        <w:rPr>
          <w:rFonts w:ascii="Times New Roman;Times;Serif" w:hAnsi="Times New Roman;Times;Serif"/>
          <w:b w:val="false"/>
          <w:i w:val="false"/>
          <w:caps w:val="false"/>
          <w:smallCaps w:val="false"/>
          <w:color w:val="231F20"/>
          <w:spacing w:val="-2"/>
          <w:sz w:val="20"/>
        </w:rPr>
      </w:pPr>
      <w:r>
        <w:rPr>
          <w:rFonts w:ascii="Times New Roman;Times;Serif" w:hAnsi="Times New Roman;Times;Serif"/>
          <w:b w:val="false"/>
          <w:i w:val="false"/>
          <w:caps w:val="false"/>
          <w:smallCaps w:val="false"/>
          <w:color w:val="231F20"/>
          <w:spacing w:val="-2"/>
          <w:sz w:val="20"/>
        </w:rPr>
        <w:t>(Address of Principal Executive Offices)</w:t>
      </w:r>
    </w:p>
    <w:p>
      <w:pPr>
        <w:pStyle w:val="TextBody"/>
        <w:bidi w:val="0"/>
        <w:spacing w:before="4" w:after="4"/>
        <w:ind w:left="4" w:right="4" w:hanging="0"/>
        <w:jc w:val="left"/>
        <w:rPr>
          <w:caps w:val="false"/>
          <w:smallCaps w:val="false"/>
        </w:rPr>
      </w:pPr>
      <w:r>
        <w:rPr>
          <w:caps w:val="false"/>
          <w:smallCaps w:val="false"/>
        </w:rPr>
        <w:t> </w:t>
      </w:r>
    </w:p>
    <w:p>
      <w:pPr>
        <w:pStyle w:val="TextBody"/>
        <w:bidi w:val="0"/>
        <w:spacing w:before="0" w:after="240"/>
        <w:ind w:left="142" w:right="0" w:hanging="0"/>
        <w:jc w:val="both"/>
        <w:rPr>
          <w:caps w:val="false"/>
          <w:smallCaps w:val="false"/>
        </w:rPr>
      </w:pPr>
      <w:r>
        <w:rPr>
          <w:caps w:val="false"/>
          <w:smallCaps w:val="false"/>
        </w:rPr>
        <w:t> </w:t>
      </w:r>
    </w:p>
    <w:p>
      <w:pPr>
        <w:pStyle w:val="TextBody"/>
        <w:bidi w:val="0"/>
        <w:spacing w:before="0" w:after="24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spacing w:before="0" w:after="200"/>
        <w:jc w:val="both"/>
        <w:rPr>
          <w:caps w:val="false"/>
          <w:smallCaps w:val="false"/>
        </w:rPr>
      </w:pPr>
      <w:r>
        <w:rPr>
          <w:caps w:val="false"/>
          <w:smallCaps w:val="false"/>
        </w:rPr>
        <w:t> </w:t>
      </w:r>
    </w:p>
    <w:p>
      <w:pPr>
        <w:pStyle w:val="TextBody"/>
        <w:bidi w:val="0"/>
        <w:spacing w:before="0" w:after="20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Enclosure: A press release dated August 24, 2026, announcing the results of trading in STMicroelectronics’ own shares as part of the previously announced share buy-back program for the period from August 18, 2026, to August 21,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7620000" cy="1400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1400175"/>
                    </a:xfrm>
                    <a:prstGeom prst="rect">
                      <a:avLst/>
                    </a:prstGeom>
                  </pic:spPr>
                </pic:pic>
              </a:graphicData>
            </a:graphic>
          </wp:inline>
        </w:drawing>
      </w: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 N°C3410C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STMicroelectronics announces status</w:t>
        <w:br/>
        <w:t>of common share repurchase program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Disclosure of Transactions in Own Shares – Period from August 18, 2026 to August 21,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t>AMSTERDAM – August 24, 2026</w:t>
      </w:r>
      <w:r>
        <w:rPr>
          <w:rFonts w:ascii="Arial;Helvetica;Sans-Serif" w:hAnsi="Arial;Helvetica;Sans-Serif"/>
          <w:b w:val="false"/>
          <w:i w:val="false"/>
          <w:caps w:val="false"/>
          <w:smallCaps w:val="false"/>
          <w:sz w:val="24"/>
        </w:rPr>
        <w:t xml:space="preserve"> -- STMicroelectronics N.V. (the “Company” or “STMicroelectronics”), a global semiconductor leader serving customers across the spectrum of electronics applications, announces full details of its common share repurchase program (the “Program”) disclosed via a press release dated June 21, 2024. The Program was approved by a shareholder resolution dated May 22, 2024 and by the supervisory board.</w:t>
      </w:r>
    </w:p>
    <w:p>
      <w:pPr>
        <w:pStyle w:val="TextBody"/>
        <w:bidi w:val="0"/>
        <w:spacing w:before="0" w:after="0"/>
        <w:jc w:val="both"/>
        <w:rPr>
          <w:caps w:val="false"/>
          <w:smallCaps w:val="false"/>
        </w:rPr>
      </w:pPr>
      <w:r>
        <w:rPr>
          <w:caps w:val="false"/>
          <w:smallCaps w:val="false"/>
        </w:rPr>
        <w:t> </w:t>
      </w:r>
    </w:p>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STMicroelectronics N.V. (registered with the trade register under number 33194537) (LEI: 213800Z8NOHIKRI42W10) announces the repurchase (by a broker acting for the Company) on the regulated market of Euronext Paris, in the period between August 18, 2026 to August 21, 2026 (the “Period”), of 396,468 ordinary shares (equal to 0.04% of its issued share capital) at the weighted average purchase price per share of EUR 44.4019 and for an overall price of EUR 17,603,932.09.</w:t>
      </w:r>
    </w:p>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The purpose of these transactions under article 5(2) of Regulation (EU) 596/2014 (the Market Abuse Regulation) was to meet obligations arising from share option programmes, or other allocations of shares, to employees or to members of the administrative, management or supervisory bodies of the issuer or of an associate company.</w:t>
      </w:r>
    </w:p>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The shares may be held in treasury prior to being used for such purpose and, to the extent that they are not ultimately needed for such purpose, they may be used for any other lawful purpose under article 5(2) of the Market Abuse Regulation.</w:t>
      </w:r>
    </w:p>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Below is a summary of the repurchase transactions made in the course of the Period in relation to the ordinary shares of STMicroelectronics (ISIN: NL0000226223), in detailed form.</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both"/>
        <w:rPr>
          <w:caps w:val="false"/>
          <w:smallCaps w:val="false"/>
        </w:rPr>
      </w:pPr>
      <w:r>
        <w:rPr>
          <w:caps w:val="false"/>
          <w:smallCaps w:val="false"/>
        </w:rPr>
        <w:t> </w:t>
      </w:r>
      <w:r>
        <w:rPr>
          <w:rFonts w:ascii="Arial;Helvetica;Sans-Serif" w:hAnsi="Arial;Helvetica;Sans-Serif"/>
          <w:b/>
          <w:i w:val="false"/>
          <w:caps w:val="false"/>
          <w:smallCaps w:val="false"/>
          <w:sz w:val="24"/>
        </w:rPr>
        <w:t>Transactions in Period</w:t>
      </w:r>
    </w:p>
    <w:tbl>
      <w:tblPr>
        <w:tblW w:w="10205" w:type="dxa"/>
        <w:jc w:val="left"/>
        <w:tblInd w:w="-5" w:type="dxa"/>
        <w:tblLayout w:type="fixed"/>
        <w:tblCellMar>
          <w:top w:w="28" w:type="dxa"/>
          <w:left w:w="28" w:type="dxa"/>
          <w:bottom w:w="28" w:type="dxa"/>
          <w:right w:w="28" w:type="dxa"/>
        </w:tblCellMar>
      </w:tblPr>
      <w:tblGrid>
        <w:gridCol w:w="1444"/>
        <w:gridCol w:w="1786"/>
        <w:gridCol w:w="2618"/>
        <w:gridCol w:w="1736"/>
        <w:gridCol w:w="2621"/>
      </w:tblGrid>
      <w:tr>
        <w:trPr/>
        <w:tc>
          <w:tcPr>
            <w:tcW w:w="1444" w:type="dxa"/>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4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Dates of transaction</w:t>
            </w:r>
          </w:p>
        </w:tc>
        <w:tc>
          <w:tcPr>
            <w:tcW w:w="1786" w:type="dxa"/>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4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Number of shares purchased</w:t>
            </w:r>
          </w:p>
        </w:tc>
        <w:tc>
          <w:tcPr>
            <w:tcW w:w="2618" w:type="dxa"/>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4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Weighted average purchase price per share (EUR)</w:t>
            </w:r>
          </w:p>
        </w:tc>
        <w:tc>
          <w:tcPr>
            <w:tcW w:w="1736" w:type="dxa"/>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4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Total amount paid (EUR)</w:t>
            </w:r>
          </w:p>
        </w:tc>
        <w:tc>
          <w:tcPr>
            <w:tcW w:w="2621" w:type="dxa"/>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4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Market on which the shares were bought (MIC code)</w:t>
            </w:r>
          </w:p>
        </w:tc>
      </w:tr>
      <w:tr>
        <w:trPr/>
        <w:tc>
          <w:tcPr>
            <w:tcW w:w="144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18-Aug-26</w:t>
            </w:r>
          </w:p>
        </w:tc>
        <w:tc>
          <w:tcPr>
            <w:tcW w:w="178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98,873 </w:t>
            </w:r>
          </w:p>
        </w:tc>
        <w:tc>
          <w:tcPr>
            <w:tcW w:w="2618"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46.3181 </w:t>
            </w:r>
          </w:p>
        </w:tc>
        <w:tc>
          <w:tcPr>
            <w:tcW w:w="173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4,579,609.50 </w:t>
            </w:r>
          </w:p>
        </w:tc>
        <w:tc>
          <w:tcPr>
            <w:tcW w:w="26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4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XPAR</w:t>
            </w:r>
          </w:p>
        </w:tc>
      </w:tr>
      <w:tr>
        <w:trPr/>
        <w:tc>
          <w:tcPr>
            <w:tcW w:w="144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19-Aug-26</w:t>
            </w:r>
          </w:p>
        </w:tc>
        <w:tc>
          <w:tcPr>
            <w:tcW w:w="178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100,615 </w:t>
            </w:r>
          </w:p>
        </w:tc>
        <w:tc>
          <w:tcPr>
            <w:tcW w:w="2618"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44.5410 </w:t>
            </w:r>
          </w:p>
        </w:tc>
        <w:tc>
          <w:tcPr>
            <w:tcW w:w="173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4,481,492.72 </w:t>
            </w:r>
          </w:p>
        </w:tc>
        <w:tc>
          <w:tcPr>
            <w:tcW w:w="26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4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XPAR</w:t>
            </w:r>
          </w:p>
        </w:tc>
      </w:tr>
      <w:tr>
        <w:trPr/>
        <w:tc>
          <w:tcPr>
            <w:tcW w:w="144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20-Aug-26</w:t>
            </w:r>
          </w:p>
        </w:tc>
        <w:tc>
          <w:tcPr>
            <w:tcW w:w="178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101,888 </w:t>
            </w:r>
          </w:p>
        </w:tc>
        <w:tc>
          <w:tcPr>
            <w:tcW w:w="2618"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43.4158 </w:t>
            </w:r>
          </w:p>
        </w:tc>
        <w:tc>
          <w:tcPr>
            <w:tcW w:w="173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4,423,549.03 </w:t>
            </w:r>
          </w:p>
        </w:tc>
        <w:tc>
          <w:tcPr>
            <w:tcW w:w="26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4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XPAR</w:t>
            </w:r>
          </w:p>
        </w:tc>
      </w:tr>
      <w:tr>
        <w:trPr/>
        <w:tc>
          <w:tcPr>
            <w:tcW w:w="144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21-Aug-26</w:t>
            </w:r>
          </w:p>
        </w:tc>
        <w:tc>
          <w:tcPr>
            <w:tcW w:w="178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95,092 </w:t>
            </w:r>
          </w:p>
        </w:tc>
        <w:tc>
          <w:tcPr>
            <w:tcW w:w="2618"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43.3189 </w:t>
            </w:r>
          </w:p>
        </w:tc>
        <w:tc>
          <w:tcPr>
            <w:tcW w:w="173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4,119,280.84 </w:t>
            </w:r>
          </w:p>
        </w:tc>
        <w:tc>
          <w:tcPr>
            <w:tcW w:w="26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4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XPAR</w:t>
            </w:r>
          </w:p>
        </w:tc>
      </w:tr>
      <w:tr>
        <w:trPr/>
        <w:tc>
          <w:tcPr>
            <w:tcW w:w="144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4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for Period</w:t>
            </w:r>
          </w:p>
        </w:tc>
        <w:tc>
          <w:tcPr>
            <w:tcW w:w="178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396,468</w:t>
            </w:r>
          </w:p>
        </w:tc>
        <w:tc>
          <w:tcPr>
            <w:tcW w:w="2618"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44.4019 </w:t>
            </w:r>
          </w:p>
        </w:tc>
        <w:tc>
          <w:tcPr>
            <w:tcW w:w="1736" w:type="dxa"/>
            <w:tcBorders>
              <w:top w:val="single" w:sz="4" w:space="0" w:color="000000"/>
              <w:left w:val="single" w:sz="4" w:space="0" w:color="000000"/>
              <w:bottom w:val="single" w:sz="4" w:space="0" w:color="000000"/>
              <w:right w:val="single" w:sz="4" w:space="0" w:color="000000"/>
            </w:tcBorders>
            <w:tcMar>
              <w:right w:w="108" w:type="dxa"/>
            </w:tcMar>
            <w:vAlign w:val="center"/>
          </w:tcPr>
          <w:p>
            <w:pPr>
              <w:pStyle w:val="TableContents"/>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17,603,932.09 </w:t>
            </w:r>
          </w:p>
        </w:tc>
        <w:tc>
          <w:tcPr>
            <w:tcW w:w="262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Following the share buybacks detailed above, the Company holds in total 19,224,908 treasury shares, which represents approximately 2.1% of the Company’s issued share capital.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In accordance with Article 5(1)(b) of the Market Abuse Regulation and Article 2(3) of Commission Delegated Regulation (EU) 2016/1052, a full breakdown of the individual trades in the Program are disclosed on the ST website (</w:t>
      </w:r>
      <w:r>
        <w:rPr>
          <w:rFonts w:ascii="Arial;Helvetica;Sans-Serif" w:hAnsi="Arial;Helvetica;Sans-Serif"/>
          <w:b w:val="false"/>
          <w:i w:val="false"/>
          <w:caps w:val="false"/>
          <w:smallCaps w:val="false"/>
          <w:color w:val="0000FF"/>
          <w:sz w:val="24"/>
          <w:u w:val="single"/>
        </w:rPr>
        <w:t>https://investors.st.com/stock-and-bond-information/share-buyback</w:t>
      </w:r>
      <w:r>
        <w:rPr>
          <w:rFonts w:ascii="Arial;Helvetica;Sans-Serif" w:hAnsi="Arial;Helvetica;Sans-Serif"/>
          <w:b w:val="false"/>
          <w:i w:val="false"/>
          <w:caps w:val="false"/>
          <w:smallCaps w:val="false"/>
          <w:sz w:val="24"/>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t>About STMicroelectronics</w:t>
        <w:br/>
      </w:r>
      <w:r>
        <w:rPr>
          <w:rFonts w:ascii="Arial;Helvetica;Sans-Serif" w:hAnsi="Arial;Helvetica;Sans-Serif"/>
          <w:b w:val="false"/>
          <w:i w:val="false"/>
          <w:caps w:val="false"/>
          <w:smallCaps w:val="false"/>
          <w:sz w:val="24"/>
        </w:rPr>
        <w:t xml:space="preserve">At ST, we are 49,000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t>
      </w:r>
      <w:r>
        <w:rPr>
          <w:rFonts w:ascii="Arial;Helvetica;Sans-Serif" w:hAnsi="Arial;Helvetica;Sans-Serif"/>
          <w:b w:val="false"/>
          <w:i w:val="false"/>
          <w:caps w:val="false"/>
          <w:smallCaps w:val="false"/>
          <w:color w:val="0000FF"/>
          <w:sz w:val="24"/>
          <w:u w:val="single"/>
        </w:rPr>
        <w:t>www.st.com</w:t>
      </w:r>
      <w:r>
        <w:rPr>
          <w:rFonts w:ascii="Arial;Helvetica;Sans-Serif" w:hAnsi="Arial;Helvetica;Sans-Serif"/>
          <w:b w:val="false"/>
          <w:i w:val="false"/>
          <w:caps w:val="false"/>
          <w:smallCaps w:val="false"/>
          <w:sz w:val="24"/>
        </w:rPr>
        <w:t xml:space="preserv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 xml:space="preserve">For more information, please contact: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br/>
      </w:r>
      <w:r>
        <w:rPr>
          <w:rFonts w:ascii="Arial;Helvetica;Sans-Serif" w:hAnsi="Arial;Helvetica;Sans-Serif"/>
          <w:b w:val="false"/>
          <w:i w:val="false"/>
          <w:caps w:val="false"/>
          <w:smallCaps w:val="false"/>
          <w:sz w:val="24"/>
        </w:rPr>
        <w:t xml:space="preserve">INVESTOR RELATIONS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Jérôme Ramel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EVP Corporate Development &amp; Integrated External Communication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Tel: +41.22.929.59.20 </w:t>
      </w:r>
    </w:p>
    <w:p>
      <w:pPr>
        <w:pStyle w:val="TextBody"/>
        <w:bidi w:val="0"/>
        <w:spacing w:before="0" w:after="0"/>
        <w:jc w:val="left"/>
        <w:rPr>
          <w:rFonts w:ascii="Calibri;Helvetica;Sans-Serif" w:hAnsi="Calibri;Helvetica;Sans-Serif"/>
          <w:b w:val="false"/>
          <w:i w:val="false"/>
          <w:caps w:val="false"/>
          <w:smallCaps w:val="false"/>
          <w:sz w:val="24"/>
        </w:rPr>
      </w:pPr>
      <w:r>
        <w:rPr>
          <w:rFonts w:ascii="Arial;Helvetica;Sans-Serif" w:hAnsi="Arial;Helvetica;Sans-Serif"/>
          <w:b w:val="false"/>
          <w:i w:val="false"/>
          <w:caps w:val="false"/>
          <w:smallCaps w:val="false"/>
          <w:color w:val="0000FF"/>
          <w:sz w:val="24"/>
          <w:u w:val="single"/>
        </w:rPr>
        <w:t>jerome.ramel@st.com</w:t>
      </w:r>
      <w:r>
        <w:rPr>
          <w:rFonts w:ascii="Calibri;Helvetica;Sans-Serif" w:hAnsi="Calibri;Helvetica;Sans-Serif"/>
          <w:b w:val="false"/>
          <w:i w:val="false"/>
          <w:caps w:val="false"/>
          <w:smallCaps w:val="false"/>
          <w:sz w:val="24"/>
        </w:rPr>
        <w:t xml:space="preserv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MEDIA RELATIONS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Alexis Breton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Group VP Corporate External Communications </w:t>
      </w:r>
    </w:p>
    <w:p>
      <w:pPr>
        <w:pStyle w:val="TextBody"/>
        <w:bidi w:val="0"/>
        <w:spacing w:before="0" w:after="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Tel: +33.6.59.16.79.08 </w:t>
      </w:r>
    </w:p>
    <w:p>
      <w:pPr>
        <w:pStyle w:val="TextBody"/>
        <w:bidi w:val="0"/>
        <w:spacing w:before="0" w:after="0"/>
        <w:jc w:val="left"/>
        <w:rPr>
          <w:rFonts w:ascii="Arial;Helvetica;Sans-Serif" w:hAnsi="Arial;Helvetica;Sans-Serif"/>
          <w:b w:val="false"/>
          <w:i w:val="false"/>
          <w:caps w:val="false"/>
          <w:smallCaps w:val="false"/>
          <w:color w:val="0000FF"/>
          <w:sz w:val="24"/>
          <w:u w:val="single"/>
        </w:rPr>
      </w:pPr>
      <w:r>
        <w:rPr>
          <w:rFonts w:ascii="Arial;Helvetica;Sans-Serif" w:hAnsi="Arial;Helvetica;Sans-Serif"/>
          <w:b w:val="false"/>
          <w:i w:val="false"/>
          <w:caps w:val="false"/>
          <w:smallCaps w:val="false"/>
          <w:color w:val="0000FF"/>
          <w:sz w:val="24"/>
          <w:u w:val="single"/>
        </w:rPr>
        <w:t>alexis.breton@st.com</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tbl>
      <w:tblPr>
        <w:tblW w:w="5570" w:type="dxa"/>
        <w:jc w:val="left"/>
        <w:tblInd w:w="0" w:type="dxa"/>
        <w:tblLayout w:type="fixed"/>
        <w:tblCellMar>
          <w:top w:w="0" w:type="dxa"/>
          <w:left w:w="0" w:type="dxa"/>
          <w:bottom w:w="0" w:type="dxa"/>
          <w:right w:w="0" w:type="dxa"/>
        </w:tblCellMar>
      </w:tblPr>
      <w:tblGrid>
        <w:gridCol w:w="515"/>
        <w:gridCol w:w="1370"/>
        <w:gridCol w:w="545"/>
        <w:gridCol w:w="3140"/>
      </w:tblGrid>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b/>
                <w:sz w:val="20"/>
              </w:rPr>
            </w:pPr>
            <w:r>
              <w:rPr>
                <w:b/>
                <w:sz w:val="20"/>
              </w:rPr>
              <w:t>STMicroelectronics N.V.</w:t>
            </w:r>
          </w:p>
        </w:tc>
      </w:tr>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20"/>
              </w:rPr>
            </w:pPr>
            <w:r>
              <w:rPr>
                <w:sz w:val="20"/>
              </w:rPr>
              <w:t xml:space="preserve">Date: </w:t>
            </w:r>
          </w:p>
        </w:tc>
        <w:tc>
          <w:tcPr>
            <w:tcW w:w="1370" w:type="dxa"/>
            <w:tcBorders/>
            <w:vAlign w:val="center"/>
          </w:tcPr>
          <w:p>
            <w:pPr>
              <w:pStyle w:val="TableContents"/>
              <w:bidi w:val="0"/>
              <w:spacing w:before="0" w:after="283"/>
              <w:jc w:val="left"/>
              <w:rPr>
                <w:sz w:val="20"/>
              </w:rPr>
            </w:pPr>
            <w:r>
              <w:rPr>
                <w:sz w:val="20"/>
              </w:rPr>
              <w:t>August 25, 2026</w:t>
            </w:r>
          </w:p>
        </w:tc>
        <w:tc>
          <w:tcPr>
            <w:tcW w:w="545" w:type="dxa"/>
            <w:tcBorders/>
            <w:vAlign w:val="center"/>
          </w:tcPr>
          <w:p>
            <w:pPr>
              <w:pStyle w:val="TableContents"/>
              <w:bidi w:val="0"/>
              <w:spacing w:before="0" w:after="283"/>
              <w:jc w:val="left"/>
              <w:rPr>
                <w:sz w:val="20"/>
              </w:rPr>
            </w:pPr>
            <w:r>
              <w:rPr>
                <w:sz w:val="20"/>
              </w:rPr>
              <w:t>By:</w:t>
            </w:r>
          </w:p>
        </w:tc>
        <w:tc>
          <w:tcPr>
            <w:tcW w:w="3140" w:type="dxa"/>
            <w:tcBorders/>
            <w:vAlign w:val="center"/>
          </w:tcPr>
          <w:p>
            <w:pPr>
              <w:pStyle w:val="TableContents"/>
              <w:bidi w:val="0"/>
              <w:spacing w:before="0" w:after="283"/>
              <w:jc w:val="left"/>
              <w:rPr>
                <w:u w:val="single"/>
              </w:rPr>
            </w:pPr>
            <w:r>
              <w:rPr>
                <w:u w:val="single"/>
              </w:rPr>
              <w:t>             </w:t>
            </w:r>
            <w:r>
              <w:rPr>
                <w:sz w:val="20"/>
                <w:u w:val="single"/>
              </w:rPr>
              <w:t xml:space="preserve">/s/ </w:t>
            </w:r>
            <w:r>
              <w:rPr>
                <w:smallCaps/>
                <w:sz w:val="20"/>
                <w:u w:val="single"/>
                <w:shd w:fill="FFFFFF" w:val="clear"/>
              </w:rPr>
              <w:t>Lorenzo Grandi</w:t>
            </w:r>
            <w:r>
              <w:rPr>
                <w:sz w:val="20"/>
                <w:u w:val="single"/>
              </w:rPr>
              <w:t xml:space="preserve">             </w:t>
            </w:r>
          </w:p>
        </w:tc>
      </w:tr>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40" w:type="dxa"/>
            <w:tcBorders/>
            <w:vAlign w:val="center"/>
          </w:tcPr>
          <w:p>
            <w:pPr>
              <w:pStyle w:val="TableContents"/>
              <w:bidi w:val="0"/>
              <w:spacing w:before="0" w:after="283"/>
              <w:jc w:val="left"/>
              <w:rPr>
                <w:sz w:val="20"/>
                <w:shd w:fill="FFFFFF" w:val="clear"/>
              </w:rPr>
            </w:pPr>
            <w:r>
              <w:rPr>
                <w:sz w:val="20"/>
                <w:shd w:fill="FFFFFF" w:val="clear"/>
              </w:rPr>
              <w:t>Lorenzo Grandi</w:t>
            </w:r>
          </w:p>
        </w:tc>
      </w:tr>
      <w:tr>
        <w:trPr/>
        <w:tc>
          <w:tcPr>
            <w:tcW w:w="5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4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p>
            <w:pPr>
              <w:pStyle w:val="TableContents"/>
              <w:bidi w:val="0"/>
              <w:spacing w:before="0" w:after="283"/>
              <w:jc w:val="left"/>
              <w:rPr>
                <w:caps w:val="false"/>
                <w:smallCaps w:val="false"/>
              </w:rPr>
            </w:pPr>
            <w:r>
              <w:rPr>
                <w:caps w:val="false"/>
                <w:smallCaps w:val="false"/>
              </w:rPr>
              <w:t> </w:t>
            </w:r>
          </w:p>
        </w:tc>
      </w:tr>
    </w:tbl>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before="20" w:after="20"/>
        <w:ind w:left="0" w:right="147" w:hanging="0"/>
        <w:jc w:val="left"/>
        <w:rPr>
          <w:bdr w:val="single" w:sz="16" w:space="1" w:color="000000"/>
        </w:rPr>
      </w:pPr>
      <w:r>
        <w:rPr>
          <w:bdr w:val="single" w:sz="16" w:space="1" w:color="000000"/>
        </w:rPr>
        <w:t> </w:t>
      </w:r>
    </w:p>
    <w:p>
      <w:pPr>
        <w:pStyle w:val="TextBody"/>
        <w:bidi w:val="0"/>
        <w:spacing w:lineRule="auto" w:line="247" w:before="1" w:after="1"/>
        <w:ind w:left="147" w:right="147"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4301</Characters>
  <CharactersWithSpaces>5128</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