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5" w:lineRule="exact"/>
        <w:rPr>
          <w:sz w:val="24"/>
          <w:szCs w:val="24"/>
          <w:color w:val="auto"/>
        </w:rPr>
      </w:pPr>
    </w:p>
    <w:p>
      <w:pPr>
        <w:ind w:left="1242"/>
        <w:spacing w:after="0"/>
        <w:rPr>
          <w:sz w:val="20"/>
          <w:szCs w:val="20"/>
          <w:color w:val="auto"/>
        </w:rPr>
      </w:pPr>
      <w:r>
        <w:rPr>
          <w:rFonts w:ascii="Arial" w:cs="Arial" w:eastAsia="Arial" w:hAnsi="Arial"/>
          <w:sz w:val="22"/>
          <w:szCs w:val="22"/>
          <w:b w:val="1"/>
          <w:bCs w:val="1"/>
          <w:color w:val="auto"/>
        </w:rPr>
        <w:t>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
        <w:spacing w:after="0"/>
        <w:rPr>
          <w:sz w:val="20"/>
          <w:szCs w:val="20"/>
          <w:color w:val="auto"/>
        </w:rPr>
      </w:pPr>
      <w:r>
        <w:rPr>
          <w:rFonts w:ascii="Arial" w:cs="Arial" w:eastAsia="Arial" w:hAnsi="Arial"/>
          <w:sz w:val="29"/>
          <w:szCs w:val="29"/>
          <w:b w:val="1"/>
          <w:bCs w:val="1"/>
          <w:color w:val="auto"/>
        </w:rPr>
        <w:t>UNITED STATES</w:t>
      </w:r>
    </w:p>
    <w:p>
      <w:pPr>
        <w:jc w:val="center"/>
        <w:ind w:right="-1"/>
        <w:spacing w:after="0" w:line="221"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
        <w:spacing w:after="0"/>
        <w:rPr>
          <w:sz w:val="20"/>
          <w:szCs w:val="20"/>
          <w:color w:val="auto"/>
        </w:rPr>
      </w:pPr>
      <w:r>
        <w:rPr>
          <w:rFonts w:ascii="Arial" w:cs="Arial" w:eastAsia="Arial" w:hAnsi="Arial"/>
          <w:sz w:val="22"/>
          <w:szCs w:val="22"/>
          <w:b w:val="1"/>
          <w:bCs w:val="1"/>
          <w:color w:val="auto"/>
        </w:rPr>
        <w:t>Washington, D.C. 20549</w:t>
      </w:r>
    </w:p>
    <w:p>
      <w:pPr>
        <w:spacing w:after="0" w:line="165" w:lineRule="exact"/>
        <w:rPr>
          <w:sz w:val="24"/>
          <w:szCs w:val="24"/>
          <w:color w:val="auto"/>
        </w:rPr>
      </w:pPr>
    </w:p>
    <w:p>
      <w:pPr>
        <w:jc w:val="center"/>
        <w:ind w:right="-1"/>
        <w:spacing w:after="0"/>
        <w:rPr>
          <w:sz w:val="20"/>
          <w:szCs w:val="20"/>
          <w:color w:val="auto"/>
        </w:rPr>
      </w:pPr>
      <w:r>
        <w:rPr>
          <w:rFonts w:ascii="Arial" w:cs="Arial" w:eastAsia="Arial" w:hAnsi="Arial"/>
          <w:sz w:val="29"/>
          <w:szCs w:val="29"/>
          <w:b w:val="1"/>
          <w:bCs w:val="1"/>
          <w:color w:val="auto"/>
        </w:rPr>
        <w:t>FORM 11-K</w:t>
      </w:r>
    </w:p>
    <w:p>
      <w:pPr>
        <w:spacing w:after="0" w:line="212" w:lineRule="exact"/>
        <w:rPr>
          <w:sz w:val="24"/>
          <w:szCs w:val="24"/>
          <w:color w:val="auto"/>
        </w:rPr>
      </w:pPr>
    </w:p>
    <w:p>
      <w:pPr>
        <w:jc w:val="center"/>
        <w:ind w:right="-1"/>
        <w:spacing w:after="0"/>
        <w:rPr>
          <w:sz w:val="20"/>
          <w:szCs w:val="20"/>
          <w:color w:val="auto"/>
        </w:rPr>
      </w:pPr>
      <w:r>
        <w:rPr>
          <w:rFonts w:ascii="Arial" w:cs="Arial" w:eastAsia="Arial" w:hAnsi="Arial"/>
          <w:sz w:val="22"/>
          <w:szCs w:val="22"/>
          <w:b w:val="1"/>
          <w:bCs w:val="1"/>
          <w:color w:val="auto"/>
        </w:rPr>
        <w:t>(Mark One)</w:t>
      </w:r>
    </w:p>
    <w:p>
      <w:pPr>
        <w:spacing w:after="0" w:line="206" w:lineRule="exact"/>
        <w:rPr>
          <w:sz w:val="24"/>
          <w:szCs w:val="24"/>
          <w:color w:val="auto"/>
        </w:rPr>
      </w:pPr>
    </w:p>
    <w:p>
      <w:pPr>
        <w:ind w:left="3002" w:right="180" w:hanging="2840"/>
        <w:spacing w:after="0" w:line="477" w:lineRule="auto"/>
        <w:tabs>
          <w:tab w:leader="none" w:pos="509"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15(d) OF THE SECURITIES EXCHANGE ACT OF 1934 For the Fiscal Year Ended December 31, 2025</w:t>
      </w:r>
    </w:p>
    <w:p>
      <w:pPr>
        <w:spacing w:after="0" w:line="371" w:lineRule="exact"/>
        <w:rPr>
          <w:sz w:val="24"/>
          <w:szCs w:val="24"/>
          <w:color w:val="auto"/>
        </w:rPr>
      </w:pPr>
    </w:p>
    <w:p>
      <w:pPr>
        <w:ind w:left="122" w:hanging="122"/>
        <w:spacing w:after="0"/>
        <w:tabs>
          <w:tab w:leader="none" w:pos="122"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 TRANSITION REPORT PURSUANT TO SECTION 15(d) OF THE SECURITIES EXCHANGE ACT OF 1934</w:t>
      </w:r>
    </w:p>
    <w:p>
      <w:pPr>
        <w:spacing w:after="0" w:line="217" w:lineRule="exact"/>
        <w:rPr>
          <w:rFonts w:ascii="Arial" w:cs="Arial" w:eastAsia="Arial" w:hAnsi="Arial"/>
          <w:sz w:val="21"/>
          <w:szCs w:val="21"/>
          <w:b w:val="1"/>
          <w:bCs w:val="1"/>
          <w:color w:val="auto"/>
        </w:rPr>
      </w:pPr>
    </w:p>
    <w:p>
      <w:pPr>
        <w:ind w:left="3122"/>
        <w:spacing w:after="0"/>
        <w:rPr>
          <w:rFonts w:ascii="Arial" w:cs="Arial" w:eastAsia="Arial" w:hAnsi="Arial"/>
          <w:sz w:val="21"/>
          <w:szCs w:val="21"/>
          <w:b w:val="1"/>
          <w:bCs w:val="1"/>
          <w:color w:val="auto"/>
        </w:rPr>
      </w:pPr>
      <w:r>
        <w:rPr>
          <w:rFonts w:ascii="Arial" w:cs="Arial" w:eastAsia="Arial" w:hAnsi="Arial"/>
          <w:sz w:val="22"/>
          <w:szCs w:val="22"/>
          <w:b w:val="1"/>
          <w:bCs w:val="1"/>
          <w:color w:val="auto"/>
        </w:rPr>
        <w:t>For the transition year from _____ to _____</w:t>
      </w:r>
    </w:p>
    <w:p>
      <w:pPr>
        <w:spacing w:after="0" w:line="206" w:lineRule="exact"/>
        <w:rPr>
          <w:rFonts w:ascii="Arial" w:cs="Arial" w:eastAsia="Arial" w:hAnsi="Arial"/>
          <w:sz w:val="21"/>
          <w:szCs w:val="21"/>
          <w:b w:val="1"/>
          <w:bCs w:val="1"/>
          <w:color w:val="auto"/>
        </w:rPr>
      </w:pPr>
    </w:p>
    <w:p>
      <w:pPr>
        <w:ind w:left="3582"/>
        <w:spacing w:after="0"/>
        <w:rPr>
          <w:rFonts w:ascii="Arial" w:cs="Arial" w:eastAsia="Arial" w:hAnsi="Arial"/>
          <w:sz w:val="21"/>
          <w:szCs w:val="21"/>
          <w:b w:val="1"/>
          <w:bCs w:val="1"/>
          <w:color w:val="auto"/>
        </w:rPr>
      </w:pPr>
      <w:r>
        <w:rPr>
          <w:rFonts w:ascii="Arial" w:cs="Arial" w:eastAsia="Arial" w:hAnsi="Arial"/>
          <w:sz w:val="22"/>
          <w:szCs w:val="22"/>
          <w:b w:val="1"/>
          <w:bCs w:val="1"/>
          <w:color w:val="auto"/>
        </w:rPr>
        <w:t>Commission File number: 1-13546</w:t>
      </w:r>
    </w:p>
    <w:p>
      <w:pPr>
        <w:spacing w:after="0" w:line="206" w:lineRule="exact"/>
        <w:rPr>
          <w:rFonts w:ascii="Arial" w:cs="Arial" w:eastAsia="Arial" w:hAnsi="Arial"/>
          <w:sz w:val="21"/>
          <w:szCs w:val="21"/>
          <w:b w:val="1"/>
          <w:bCs w:val="1"/>
          <w:color w:val="auto"/>
        </w:rPr>
      </w:pPr>
    </w:p>
    <w:p>
      <w:pPr>
        <w:ind w:left="362" w:hanging="328"/>
        <w:spacing w:after="0"/>
        <w:tabs>
          <w:tab w:leader="none" w:pos="362" w:val="left"/>
        </w:tabs>
        <w:numPr>
          <w:ilvl w:val="1"/>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Full title of the plan and the address of the plan, if different from that of the issuer named below:</w:t>
      </w:r>
    </w:p>
    <w:p>
      <w:pPr>
        <w:spacing w:after="0" w:line="191" w:lineRule="exact"/>
        <w:rPr>
          <w:sz w:val="24"/>
          <w:szCs w:val="24"/>
          <w:color w:val="auto"/>
        </w:rPr>
      </w:pPr>
    </w:p>
    <w:p>
      <w:pPr>
        <w:jc w:val="center"/>
        <w:ind w:right="-1"/>
        <w:spacing w:after="0"/>
        <w:rPr>
          <w:sz w:val="20"/>
          <w:szCs w:val="20"/>
          <w:color w:val="auto"/>
        </w:rPr>
      </w:pPr>
      <w:r>
        <w:rPr>
          <w:rFonts w:ascii="Arial" w:cs="Arial" w:eastAsia="Arial" w:hAnsi="Arial"/>
          <w:sz w:val="22"/>
          <w:szCs w:val="22"/>
          <w:color w:val="auto"/>
        </w:rPr>
        <w:t>STMicroelectronics, Inc. 401(k) Savings Plan</w:t>
      </w:r>
    </w:p>
    <w:p>
      <w:pPr>
        <w:jc w:val="center"/>
        <w:ind w:right="-1"/>
        <w:spacing w:after="0" w:line="204" w:lineRule="auto"/>
        <w:rPr>
          <w:sz w:val="20"/>
          <w:szCs w:val="20"/>
          <w:color w:val="auto"/>
        </w:rPr>
      </w:pPr>
      <w:r>
        <w:rPr>
          <w:rFonts w:ascii="Arial" w:cs="Arial" w:eastAsia="Arial" w:hAnsi="Arial"/>
          <w:sz w:val="22"/>
          <w:szCs w:val="22"/>
          <w:color w:val="auto"/>
        </w:rPr>
        <w:t>c/o STMicroelectronics, Inc.</w:t>
      </w:r>
    </w:p>
    <w:p>
      <w:pPr>
        <w:jc w:val="center"/>
        <w:ind w:right="-1"/>
        <w:spacing w:after="0" w:line="205" w:lineRule="auto"/>
        <w:rPr>
          <w:sz w:val="20"/>
          <w:szCs w:val="20"/>
          <w:color w:val="auto"/>
        </w:rPr>
      </w:pPr>
      <w:r>
        <w:rPr>
          <w:rFonts w:ascii="Arial" w:cs="Arial" w:eastAsia="Arial" w:hAnsi="Arial"/>
          <w:sz w:val="22"/>
          <w:szCs w:val="22"/>
          <w:color w:val="auto"/>
        </w:rPr>
        <w:t>750 Canyon Drive</w:t>
      </w:r>
    </w:p>
    <w:p>
      <w:pPr>
        <w:jc w:val="center"/>
        <w:ind w:right="-1"/>
        <w:spacing w:after="0" w:line="205" w:lineRule="auto"/>
        <w:rPr>
          <w:sz w:val="20"/>
          <w:szCs w:val="20"/>
          <w:color w:val="auto"/>
        </w:rPr>
      </w:pPr>
      <w:r>
        <w:rPr>
          <w:rFonts w:ascii="Arial" w:cs="Arial" w:eastAsia="Arial" w:hAnsi="Arial"/>
          <w:sz w:val="22"/>
          <w:szCs w:val="22"/>
          <w:color w:val="auto"/>
        </w:rPr>
        <w:t>Suite 300</w:t>
      </w:r>
    </w:p>
    <w:p>
      <w:pPr>
        <w:spacing w:after="0" w:line="1" w:lineRule="exact"/>
        <w:rPr>
          <w:sz w:val="24"/>
          <w:szCs w:val="24"/>
          <w:color w:val="auto"/>
        </w:rPr>
      </w:pPr>
    </w:p>
    <w:p>
      <w:pPr>
        <w:jc w:val="center"/>
        <w:ind w:right="-1"/>
        <w:spacing w:after="0"/>
        <w:rPr>
          <w:sz w:val="20"/>
          <w:szCs w:val="20"/>
          <w:color w:val="auto"/>
        </w:rPr>
      </w:pPr>
      <w:r>
        <w:rPr>
          <w:rFonts w:ascii="Arial" w:cs="Arial" w:eastAsia="Arial" w:hAnsi="Arial"/>
          <w:sz w:val="22"/>
          <w:szCs w:val="22"/>
          <w:color w:val="auto"/>
        </w:rPr>
        <w:t>Coppell, Texas 75019</w:t>
      </w:r>
    </w:p>
    <w:p>
      <w:pPr>
        <w:spacing w:after="0" w:line="184" w:lineRule="exact"/>
        <w:rPr>
          <w:sz w:val="24"/>
          <w:szCs w:val="24"/>
          <w:color w:val="auto"/>
        </w:rPr>
      </w:pPr>
    </w:p>
    <w:p>
      <w:pPr>
        <w:ind w:left="362" w:right="100" w:hanging="328"/>
        <w:spacing w:after="0" w:line="247" w:lineRule="auto"/>
        <w:tabs>
          <w:tab w:leader="none" w:pos="362"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 of the securities held pursuant to the plan and the address of its principal executive office:</w:t>
      </w:r>
    </w:p>
    <w:p>
      <w:pPr>
        <w:spacing w:after="0" w:line="139" w:lineRule="exact"/>
        <w:rPr>
          <w:sz w:val="24"/>
          <w:szCs w:val="24"/>
          <w:color w:val="auto"/>
        </w:rPr>
      </w:pPr>
    </w:p>
    <w:p>
      <w:pPr>
        <w:jc w:val="center"/>
        <w:ind w:right="-1"/>
        <w:spacing w:after="0"/>
        <w:rPr>
          <w:sz w:val="20"/>
          <w:szCs w:val="20"/>
          <w:color w:val="auto"/>
        </w:rPr>
      </w:pPr>
      <w:r>
        <w:rPr>
          <w:rFonts w:ascii="Arial" w:cs="Arial" w:eastAsia="Arial" w:hAnsi="Arial"/>
          <w:sz w:val="22"/>
          <w:szCs w:val="22"/>
          <w:color w:val="auto"/>
        </w:rPr>
        <w:t>STMicroelectronics N.V.</w:t>
      </w:r>
    </w:p>
    <w:p>
      <w:pPr>
        <w:jc w:val="center"/>
        <w:ind w:right="18"/>
        <w:spacing w:after="0" w:line="204" w:lineRule="auto"/>
        <w:rPr>
          <w:sz w:val="20"/>
          <w:szCs w:val="20"/>
          <w:color w:val="auto"/>
        </w:rPr>
      </w:pPr>
      <w:r>
        <w:rPr>
          <w:rFonts w:ascii="Arial" w:cs="Arial" w:eastAsia="Arial" w:hAnsi="Arial"/>
          <w:sz w:val="22"/>
          <w:szCs w:val="22"/>
          <w:color w:val="auto"/>
        </w:rPr>
        <w:t>39, Chemin du Champ des Filles</w:t>
      </w:r>
    </w:p>
    <w:p>
      <w:pPr>
        <w:jc w:val="center"/>
        <w:ind w:right="-1"/>
        <w:spacing w:after="0" w:line="205" w:lineRule="auto"/>
        <w:rPr>
          <w:sz w:val="20"/>
          <w:szCs w:val="20"/>
          <w:color w:val="auto"/>
        </w:rPr>
      </w:pPr>
      <w:r>
        <w:rPr>
          <w:rFonts w:ascii="Arial" w:cs="Arial" w:eastAsia="Arial" w:hAnsi="Arial"/>
          <w:sz w:val="22"/>
          <w:szCs w:val="22"/>
          <w:color w:val="auto"/>
        </w:rPr>
        <w:t>1228 Plan-Les-Ouates</w:t>
      </w:r>
    </w:p>
    <w:p>
      <w:pPr>
        <w:spacing w:after="0" w:line="1" w:lineRule="exact"/>
        <w:rPr>
          <w:sz w:val="24"/>
          <w:szCs w:val="24"/>
          <w:color w:val="auto"/>
        </w:rPr>
      </w:pPr>
    </w:p>
    <w:p>
      <w:pPr>
        <w:jc w:val="center"/>
        <w:ind w:right="-1"/>
        <w:spacing w:after="0"/>
        <w:rPr>
          <w:sz w:val="20"/>
          <w:szCs w:val="20"/>
          <w:color w:val="auto"/>
        </w:rPr>
      </w:pPr>
      <w:r>
        <w:rPr>
          <w:rFonts w:ascii="Arial" w:cs="Arial" w:eastAsia="Arial" w:hAnsi="Arial"/>
          <w:sz w:val="22"/>
          <w:szCs w:val="22"/>
          <w:color w:val="auto"/>
        </w:rPr>
        <w:t>Geneva, Switzerland</w:t>
      </w:r>
    </w:p>
    <w:p>
      <w:pPr>
        <w:spacing w:after="0" w:line="184" w:lineRule="exact"/>
        <w:rPr>
          <w:sz w:val="24"/>
          <w:szCs w:val="24"/>
          <w:color w:val="auto"/>
        </w:rPr>
      </w:pPr>
    </w:p>
    <w:p>
      <w:pPr>
        <w:ind w:left="1242"/>
        <w:spacing w:after="0"/>
        <w:rPr>
          <w:sz w:val="20"/>
          <w:szCs w:val="20"/>
          <w:color w:val="auto"/>
        </w:rPr>
      </w:pPr>
      <w:r>
        <w:rPr>
          <w:rFonts w:ascii="Arial" w:cs="Arial" w:eastAsia="Arial" w:hAnsi="Arial"/>
          <w:sz w:val="22"/>
          <w:szCs w:val="22"/>
          <w:b w:val="1"/>
          <w:bCs w:val="1"/>
          <w:color w:val="auto"/>
        </w:rPr>
        <w:t>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-196215</wp:posOffset>
            </wp:positionH>
            <wp:positionV relativeFrom="paragraph">
              <wp:posOffset>2116455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2"/>
          </w:cols>
          <w:pgMar w:left="618" w:top="1440" w:right="61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STMicroelectronics, Inc. 401(k) Savings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9"/>
              </w:rPr>
              <w:t>Report of Independent Registered Public Accounting Firm</w:t>
            </w:r>
          </w:p>
        </w:tc>
        <w:tc>
          <w:tcPr>
            <w:tcW w:w="4700" w:type="dxa"/>
            <w:vAlign w:val="bottom"/>
            <w:gridSpan w:val="5"/>
          </w:tcPr>
          <w:p>
            <w:pPr>
              <w:spacing w:after="0"/>
              <w:rPr>
                <w:sz w:val="17"/>
                <w:szCs w:val="17"/>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w:t>
            </w:r>
          </w:p>
        </w:tc>
      </w:tr>
      <w:tr>
        <w:trPr>
          <w:trHeight w:val="532"/>
        </w:trPr>
        <w:tc>
          <w:tcPr>
            <w:tcW w:w="20" w:type="dxa"/>
            <w:vAlign w:val="bottom"/>
          </w:tcPr>
          <w:p>
            <w:pPr>
              <w:spacing w:after="0"/>
              <w:rPr>
                <w:sz w:val="24"/>
                <w:szCs w:val="24"/>
                <w:color w:val="auto"/>
              </w:rPr>
            </w:pPr>
          </w:p>
        </w:tc>
        <w:tc>
          <w:tcPr>
            <w:tcW w:w="9680" w:type="dxa"/>
            <w:vAlign w:val="bottom"/>
            <w:gridSpan w:val="9"/>
          </w:tcPr>
          <w:p>
            <w:pPr>
              <w:spacing w:after="0"/>
              <w:rPr>
                <w:sz w:val="20"/>
                <w:szCs w:val="20"/>
                <w:color w:val="auto"/>
              </w:rPr>
            </w:pPr>
            <w:r>
              <w:rPr>
                <w:rFonts w:ascii="Arial" w:cs="Arial" w:eastAsia="Arial" w:hAnsi="Arial"/>
                <w:sz w:val="18"/>
                <w:szCs w:val="18"/>
                <w:b w:val="1"/>
                <w:bCs w:val="1"/>
                <w:color w:val="auto"/>
              </w:rPr>
              <w:t>Financial Statements</w:t>
            </w:r>
          </w:p>
        </w:tc>
        <w:tc>
          <w:tcPr>
            <w:tcW w:w="1540" w:type="dxa"/>
            <w:vAlign w:val="bottom"/>
          </w:tcPr>
          <w:p>
            <w:pPr>
              <w:spacing w:after="0"/>
              <w:rPr>
                <w:sz w:val="24"/>
                <w:szCs w:val="24"/>
                <w:color w:val="auto"/>
              </w:rPr>
            </w:pPr>
          </w:p>
        </w:tc>
      </w:tr>
      <w:tr>
        <w:trPr>
          <w:trHeight w:val="44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20" w:type="dxa"/>
            <w:vAlign w:val="bottom"/>
            <w:gridSpan w:val="8"/>
          </w:tcPr>
          <w:p>
            <w:pPr>
              <w:spacing w:after="0"/>
              <w:rPr>
                <w:sz w:val="20"/>
                <w:szCs w:val="20"/>
                <w:color w:val="auto"/>
              </w:rPr>
            </w:pPr>
            <w:r>
              <w:rPr>
                <w:rFonts w:ascii="Arial" w:cs="Arial" w:eastAsia="Arial" w:hAnsi="Arial"/>
                <w:sz w:val="18"/>
                <w:szCs w:val="18"/>
                <w:color w:val="0000FF"/>
              </w:rPr>
              <w:t>Statements of Net Assets Available for Plan Benefits as of December 31, 2025 and 2024</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20" w:type="dxa"/>
            <w:vAlign w:val="bottom"/>
            <w:gridSpan w:val="8"/>
          </w:tcPr>
          <w:p>
            <w:pPr>
              <w:spacing w:after="0"/>
              <w:rPr>
                <w:sz w:val="20"/>
                <w:szCs w:val="20"/>
                <w:color w:val="auto"/>
              </w:rPr>
            </w:pPr>
            <w:r>
              <w:rPr>
                <w:rFonts w:ascii="Arial" w:cs="Arial" w:eastAsia="Arial" w:hAnsi="Arial"/>
                <w:sz w:val="18"/>
                <w:szCs w:val="18"/>
                <w:color w:val="0000FF"/>
              </w:rPr>
              <w:t>Statement of Changes in Net Assets Available for Plan Benefits for the year ended December 31, 2025</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4</w:t>
            </w:r>
          </w:p>
        </w:tc>
      </w:tr>
      <w:tr>
        <w:trPr>
          <w:trHeight w:val="48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9"/>
              </w:rPr>
              <w:t>Notes to Financial Statements</w:t>
            </w:r>
          </w:p>
        </w:tc>
        <w:tc>
          <w:tcPr>
            <w:tcW w:w="5780" w:type="dxa"/>
            <w:vAlign w:val="bottom"/>
            <w:tcBorders>
              <w:top w:val="single" w:sz="8" w:color="0000FF"/>
            </w:tcBorders>
            <w:gridSpan w:val="5"/>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5</w:t>
            </w:r>
          </w:p>
        </w:tc>
      </w:tr>
      <w:tr>
        <w:trPr>
          <w:trHeight w:val="532"/>
        </w:trPr>
        <w:tc>
          <w:tcPr>
            <w:tcW w:w="20" w:type="dxa"/>
            <w:vAlign w:val="bottom"/>
          </w:tcPr>
          <w:p>
            <w:pPr>
              <w:spacing w:after="0"/>
              <w:rPr>
                <w:sz w:val="24"/>
                <w:szCs w:val="24"/>
                <w:color w:val="auto"/>
              </w:rPr>
            </w:pPr>
          </w:p>
        </w:tc>
        <w:tc>
          <w:tcPr>
            <w:tcW w:w="9680" w:type="dxa"/>
            <w:vAlign w:val="bottom"/>
            <w:gridSpan w:val="9"/>
          </w:tcPr>
          <w:p>
            <w:pPr>
              <w:spacing w:after="0"/>
              <w:rPr>
                <w:sz w:val="20"/>
                <w:szCs w:val="20"/>
                <w:color w:val="auto"/>
              </w:rPr>
            </w:pPr>
            <w:r>
              <w:rPr>
                <w:rFonts w:ascii="Arial" w:cs="Arial" w:eastAsia="Arial" w:hAnsi="Arial"/>
                <w:sz w:val="18"/>
                <w:szCs w:val="18"/>
                <w:b w:val="1"/>
                <w:bCs w:val="1"/>
                <w:color w:val="auto"/>
              </w:rPr>
              <w:t>Supplemental Schedule</w:t>
            </w:r>
          </w:p>
        </w:tc>
        <w:tc>
          <w:tcPr>
            <w:tcW w:w="1540" w:type="dxa"/>
            <w:vAlign w:val="bottom"/>
          </w:tcPr>
          <w:p>
            <w:pPr>
              <w:spacing w:after="0"/>
              <w:rPr>
                <w:sz w:val="24"/>
                <w:szCs w:val="24"/>
                <w:color w:val="auto"/>
              </w:rPr>
            </w:pPr>
          </w:p>
        </w:tc>
      </w:tr>
      <w:tr>
        <w:trPr>
          <w:trHeight w:val="44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20" w:type="dxa"/>
            <w:vAlign w:val="bottom"/>
            <w:gridSpan w:val="8"/>
          </w:tcPr>
          <w:p>
            <w:pPr>
              <w:spacing w:after="0"/>
              <w:rPr>
                <w:sz w:val="20"/>
                <w:szCs w:val="20"/>
                <w:color w:val="auto"/>
              </w:rPr>
            </w:pPr>
            <w:r>
              <w:rPr>
                <w:rFonts w:ascii="Arial" w:cs="Arial" w:eastAsia="Arial" w:hAnsi="Arial"/>
                <w:sz w:val="18"/>
                <w:szCs w:val="18"/>
                <w:color w:val="0000FF"/>
              </w:rPr>
              <w:t>Schedule H, line 4i – Schedule of Assets (Held at End of Year)</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Signature</w:t>
            </w:r>
          </w:p>
        </w:tc>
        <w:tc>
          <w:tcPr>
            <w:tcW w:w="8900" w:type="dxa"/>
            <w:vAlign w:val="bottom"/>
            <w:gridSpan w:val="7"/>
          </w:tcPr>
          <w:p>
            <w:pPr>
              <w:spacing w:after="0"/>
              <w:rPr>
                <w:sz w:val="24"/>
                <w:szCs w:val="24"/>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15</w:t>
            </w:r>
          </w:p>
        </w:tc>
      </w:tr>
      <w:tr>
        <w:trPr>
          <w:trHeight w:val="515"/>
        </w:trPr>
        <w:tc>
          <w:tcPr>
            <w:tcW w:w="20" w:type="dxa"/>
            <w:vAlign w:val="bottom"/>
          </w:tcPr>
          <w:p>
            <w:pPr>
              <w:spacing w:after="0"/>
              <w:rPr>
                <w:sz w:val="24"/>
                <w:szCs w:val="24"/>
                <w:color w:val="auto"/>
              </w:rPr>
            </w:pPr>
          </w:p>
        </w:tc>
        <w:tc>
          <w:tcPr>
            <w:tcW w:w="9680" w:type="dxa"/>
            <w:vAlign w:val="bottom"/>
            <w:gridSpan w:val="9"/>
          </w:tcPr>
          <w:p>
            <w:pPr>
              <w:spacing w:after="0"/>
              <w:rPr>
                <w:sz w:val="20"/>
                <w:szCs w:val="20"/>
                <w:color w:val="auto"/>
              </w:rPr>
            </w:pPr>
            <w:r>
              <w:rPr>
                <w:rFonts w:ascii="Arial" w:cs="Arial" w:eastAsia="Arial" w:hAnsi="Arial"/>
                <w:sz w:val="18"/>
                <w:szCs w:val="18"/>
                <w:b w:val="1"/>
                <w:bCs w:val="1"/>
                <w:color w:val="auto"/>
              </w:rPr>
              <w:t>Exhibit Index</w:t>
            </w:r>
          </w:p>
        </w:tc>
        <w:tc>
          <w:tcPr>
            <w:tcW w:w="154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320" w:type="dxa"/>
            <w:vAlign w:val="bottom"/>
            <w:gridSpan w:val="8"/>
          </w:tcPr>
          <w:p>
            <w:pPr>
              <w:spacing w:after="0" w:line="195" w:lineRule="exact"/>
              <w:rPr>
                <w:sz w:val="20"/>
                <w:szCs w:val="20"/>
                <w:color w:val="auto"/>
              </w:rPr>
            </w:pPr>
            <w:r>
              <w:rPr>
                <w:rFonts w:ascii="Arial" w:cs="Arial" w:eastAsia="Arial" w:hAnsi="Arial"/>
                <w:sz w:val="18"/>
                <w:szCs w:val="18"/>
                <w:color w:val="0000FF"/>
              </w:rPr>
              <w:t>Exhibit 23.1 - Consent of Independent Registered Public Accounting Firm</w:t>
            </w:r>
          </w:p>
        </w:tc>
        <w:tc>
          <w:tcPr>
            <w:tcW w:w="15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16</w:t>
            </w:r>
          </w:p>
        </w:tc>
      </w:tr>
      <w:tr>
        <w:trPr>
          <w:trHeight w:val="2242"/>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1980" w:type="dxa"/>
            <w:vAlign w:val="bottom"/>
            <w:tcBorders>
              <w:top w:val="single" w:sz="8" w:color="0000FF"/>
              <w:bottom w:val="single" w:sz="8" w:color="9A9A9A"/>
            </w:tcBorders>
          </w:tcPr>
          <w:p>
            <w:pPr>
              <w:spacing w:after="0"/>
              <w:rPr>
                <w:sz w:val="24"/>
                <w:szCs w:val="24"/>
                <w:color w:val="auto"/>
              </w:rPr>
            </w:pPr>
          </w:p>
        </w:tc>
        <w:tc>
          <w:tcPr>
            <w:tcW w:w="22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To the Participants and Retirement Committee of the</w:t>
      </w:r>
    </w:p>
    <w:p>
      <w:pPr>
        <w:spacing w:after="0" w:line="204" w:lineRule="auto"/>
        <w:rPr>
          <w:sz w:val="20"/>
          <w:szCs w:val="20"/>
          <w:color w:val="auto"/>
        </w:rPr>
      </w:pPr>
      <w:r>
        <w:rPr>
          <w:rFonts w:ascii="Arial" w:cs="Arial" w:eastAsia="Arial" w:hAnsi="Arial"/>
          <w:sz w:val="22"/>
          <w:szCs w:val="22"/>
          <w:color w:val="auto"/>
        </w:rPr>
        <w:t>STMicroelectronics, Inc. 401(k) Savings Plan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Coppell, Texas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208"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We have audited the accompanying statements of net assets available for plan benefits of the STMicroelectronics, Inc. 401(k) Savings Plan (the “Plan”) as of December 31, 2025 and 2024, the related statement of changes in net assets available for plan benefits for the year ended December 31, 2025, and the related notes (collectively, the “financial statements”). In our opinion, the financial statements present fairly, in all material respects, the net assets available for plan benefits of the Plan as of December 31, 2025 and 2024, and the changes in net assets available for plan benefits for the year ended December 31, 2025,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08"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spacing w:after="0" w:line="215" w:lineRule="auto"/>
        <w:rPr>
          <w:sz w:val="20"/>
          <w:szCs w:val="20"/>
          <w:color w:val="auto"/>
        </w:rPr>
      </w:pPr>
      <w:r>
        <w:rPr>
          <w:rFonts w:ascii="Arial" w:cs="Arial" w:eastAsia="Arial" w:hAnsi="Arial"/>
          <w:sz w:val="22"/>
          <w:szCs w:val="2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79" w:lineRule="exact"/>
        <w:rPr>
          <w:sz w:val="20"/>
          <w:szCs w:val="20"/>
          <w:color w:val="auto"/>
        </w:rPr>
      </w:pPr>
    </w:p>
    <w:p>
      <w:pPr>
        <w:jc w:val="both"/>
        <w:spacing w:after="0" w:line="215" w:lineRule="auto"/>
        <w:rPr>
          <w:sz w:val="20"/>
          <w:szCs w:val="20"/>
          <w:color w:val="auto"/>
        </w:rPr>
      </w:pPr>
      <w:r>
        <w:rPr>
          <w:rFonts w:ascii="Arial" w:cs="Arial" w:eastAsia="Arial" w:hAnsi="Arial"/>
          <w:sz w:val="22"/>
          <w:szCs w:val="22"/>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Information</w:t>
      </w:r>
    </w:p>
    <w:p>
      <w:pPr>
        <w:spacing w:after="0" w:line="208" w:lineRule="exact"/>
        <w:rPr>
          <w:sz w:val="20"/>
          <w:szCs w:val="20"/>
          <w:color w:val="auto"/>
        </w:rPr>
      </w:pPr>
    </w:p>
    <w:p>
      <w:pPr>
        <w:jc w:val="both"/>
        <w:spacing w:after="0" w:line="209" w:lineRule="auto"/>
        <w:rPr>
          <w:sz w:val="20"/>
          <w:szCs w:val="20"/>
          <w:color w:val="auto"/>
        </w:rPr>
      </w:pPr>
      <w:r>
        <w:rPr>
          <w:rFonts w:ascii="Arial" w:cs="Arial" w:eastAsia="Arial" w:hAnsi="Arial"/>
          <w:sz w:val="22"/>
          <w:szCs w:val="22"/>
          <w:color w:val="auto"/>
        </w:rPr>
        <w:t>The supplemental information in the accompanying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/s/ BDO USA, P.C.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Plan’s auditor since 2004.</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Denver, Colorado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9"/>
          <w:szCs w:val="29"/>
          <w:b w:val="1"/>
          <w:bCs w:val="1"/>
          <w:color w:val="auto"/>
        </w:rPr>
        <w:t>STMicroelectronics, Inc. 401(k) Savings Plan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Statements of Net Assets Available for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4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9"/>
                <w:szCs w:val="19"/>
                <w:b w:val="1"/>
                <w:bCs w:val="1"/>
                <w:color w:val="auto"/>
              </w:rPr>
              <w:t>December 31,</w:t>
            </w:r>
          </w:p>
        </w:tc>
        <w:tc>
          <w:tcPr>
            <w:tcW w:w="1620" w:type="dxa"/>
            <w:vAlign w:val="bottom"/>
            <w:tcBorders>
              <w:bottom w:val="single" w:sz="8" w:color="auto"/>
            </w:tcBorders>
          </w:tcPr>
          <w:p>
            <w:pPr>
              <w:spacing w:after="0"/>
              <w:rPr>
                <w:sz w:val="21"/>
                <w:szCs w:val="21"/>
                <w:color w:val="auto"/>
              </w:rPr>
            </w:pPr>
          </w:p>
        </w:tc>
      </w:tr>
      <w:tr>
        <w:trPr>
          <w:trHeight w:val="243"/>
        </w:trPr>
        <w:tc>
          <w:tcPr>
            <w:tcW w:w="64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786"/>
              <w:spacing w:after="0"/>
              <w:rPr>
                <w:sz w:val="20"/>
                <w:szCs w:val="20"/>
                <w:color w:val="auto"/>
              </w:rPr>
            </w:pPr>
            <w:r>
              <w:rPr>
                <w:rFonts w:ascii="Arial" w:cs="Arial" w:eastAsia="Arial" w:hAnsi="Arial"/>
                <w:sz w:val="19"/>
                <w:szCs w:val="19"/>
                <w:b w:val="1"/>
                <w:bCs w:val="1"/>
                <w:color w:val="auto"/>
              </w:rPr>
              <w:t>2025</w:t>
            </w:r>
          </w:p>
        </w:tc>
        <w:tc>
          <w:tcPr>
            <w:tcW w:w="3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926"/>
              <w:spacing w:after="0"/>
              <w:rPr>
                <w:sz w:val="20"/>
                <w:szCs w:val="20"/>
                <w:color w:val="auto"/>
              </w:rPr>
            </w:pPr>
            <w:r>
              <w:rPr>
                <w:rFonts w:ascii="Arial" w:cs="Arial" w:eastAsia="Arial" w:hAnsi="Arial"/>
                <w:sz w:val="19"/>
                <w:szCs w:val="19"/>
                <w:b w:val="1"/>
                <w:bCs w:val="1"/>
                <w:color w:val="auto"/>
              </w:rPr>
              <w:t>2024</w:t>
            </w:r>
          </w:p>
        </w:tc>
      </w:tr>
      <w:tr>
        <w:trPr>
          <w:trHeight w:val="499"/>
        </w:trPr>
        <w:tc>
          <w:tcPr>
            <w:tcW w:w="6400" w:type="dxa"/>
            <w:vAlign w:val="bottom"/>
          </w:tcPr>
          <w:p>
            <w:pPr>
              <w:spacing w:after="0"/>
              <w:rPr>
                <w:sz w:val="20"/>
                <w:szCs w:val="20"/>
                <w:color w:val="auto"/>
              </w:rPr>
            </w:pPr>
            <w:r>
              <w:rPr>
                <w:rFonts w:ascii="Arial" w:cs="Arial" w:eastAsia="Arial" w:hAnsi="Arial"/>
                <w:sz w:val="19"/>
                <w:szCs w:val="19"/>
                <w:b w:val="1"/>
                <w:bCs w:val="1"/>
                <w:color w:val="auto"/>
              </w:rPr>
              <w:t>Assets</w:t>
            </w: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9"/>
                <w:szCs w:val="19"/>
                <w:color w:val="auto"/>
              </w:rPr>
              <w:t>Investments, at fair value:</w:t>
            </w:r>
          </w:p>
        </w:tc>
        <w:tc>
          <w:tcPr>
            <w:tcW w:w="5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43"/>
        </w:trPr>
        <w:tc>
          <w:tcPr>
            <w:tcW w:w="6400" w:type="dxa"/>
            <w:vAlign w:val="bottom"/>
          </w:tcPr>
          <w:p>
            <w:pPr>
              <w:ind w:left="220"/>
              <w:spacing w:after="0"/>
              <w:rPr>
                <w:sz w:val="20"/>
                <w:szCs w:val="20"/>
                <w:color w:val="auto"/>
              </w:rPr>
            </w:pPr>
            <w:r>
              <w:rPr>
                <w:rFonts w:ascii="Arial" w:cs="Arial" w:eastAsia="Arial" w:hAnsi="Arial"/>
                <w:sz w:val="19"/>
                <w:szCs w:val="19"/>
                <w:color w:val="auto"/>
              </w:rPr>
              <w:t>Mutual funds</w:t>
            </w:r>
          </w:p>
        </w:tc>
        <w:tc>
          <w:tcPr>
            <w:tcW w:w="540" w:type="dxa"/>
            <w:vAlign w:val="bottom"/>
          </w:tcPr>
          <w:p>
            <w:pPr>
              <w:jc w:val="right"/>
              <w:ind w:right="226"/>
              <w:spacing w:after="0"/>
              <w:rPr>
                <w:sz w:val="20"/>
                <w:szCs w:val="20"/>
                <w:color w:val="auto"/>
              </w:rPr>
            </w:pPr>
            <w:r>
              <w:rPr>
                <w:rFonts w:ascii="Arial" w:cs="Arial" w:eastAsia="Arial" w:hAnsi="Arial"/>
                <w:sz w:val="19"/>
                <w:szCs w:val="19"/>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9"/>
                <w:szCs w:val="19"/>
                <w:b w:val="1"/>
                <w:bCs w:val="1"/>
                <w:color w:val="auto"/>
              </w:rPr>
              <w:t>533,614,450</w:t>
            </w:r>
          </w:p>
        </w:tc>
        <w:tc>
          <w:tcPr>
            <w:tcW w:w="320" w:type="dxa"/>
            <w:vAlign w:val="bottom"/>
          </w:tcPr>
          <w:p>
            <w:pPr>
              <w:spacing w:after="0"/>
              <w:rPr>
                <w:sz w:val="21"/>
                <w:szCs w:val="21"/>
                <w:color w:val="auto"/>
              </w:rPr>
            </w:pPr>
          </w:p>
        </w:tc>
        <w:tc>
          <w:tcPr>
            <w:tcW w:w="700" w:type="dxa"/>
            <w:vAlign w:val="bottom"/>
          </w:tcPr>
          <w:p>
            <w:pPr>
              <w:jc w:val="right"/>
              <w:ind w:right="386"/>
              <w:spacing w:after="0"/>
              <w:rPr>
                <w:sz w:val="20"/>
                <w:szCs w:val="20"/>
                <w:color w:val="auto"/>
              </w:rPr>
            </w:pPr>
            <w:r>
              <w:rPr>
                <w:rFonts w:ascii="Arial" w:cs="Arial" w:eastAsia="Arial" w:hAnsi="Arial"/>
                <w:sz w:val="19"/>
                <w:szCs w:val="19"/>
                <w:b w:val="1"/>
                <w:bCs w:val="1"/>
                <w:color w:val="auto"/>
              </w:rPr>
              <w:t>$</w:t>
            </w:r>
          </w:p>
        </w:tc>
        <w:tc>
          <w:tcPr>
            <w:tcW w:w="1620" w:type="dxa"/>
            <w:vAlign w:val="bottom"/>
          </w:tcPr>
          <w:p>
            <w:pPr>
              <w:jc w:val="right"/>
              <w:ind w:right="66"/>
              <w:spacing w:after="0"/>
              <w:rPr>
                <w:sz w:val="20"/>
                <w:szCs w:val="20"/>
                <w:color w:val="auto"/>
              </w:rPr>
            </w:pPr>
            <w:r>
              <w:rPr>
                <w:rFonts w:ascii="Arial" w:cs="Arial" w:eastAsia="Arial" w:hAnsi="Arial"/>
                <w:sz w:val="19"/>
                <w:szCs w:val="19"/>
                <w:b w:val="1"/>
                <w:bCs w:val="1"/>
                <w:color w:val="auto"/>
              </w:rPr>
              <w:t>500,842,496</w:t>
            </w:r>
          </w:p>
        </w:tc>
      </w:tr>
      <w:tr>
        <w:trPr>
          <w:trHeight w:val="243"/>
        </w:trPr>
        <w:tc>
          <w:tcPr>
            <w:tcW w:w="6400" w:type="dxa"/>
            <w:vAlign w:val="bottom"/>
          </w:tcPr>
          <w:p>
            <w:pPr>
              <w:ind w:left="220"/>
              <w:spacing w:after="0"/>
              <w:rPr>
                <w:sz w:val="20"/>
                <w:szCs w:val="20"/>
                <w:color w:val="auto"/>
              </w:rPr>
            </w:pPr>
            <w:r>
              <w:rPr>
                <w:rFonts w:ascii="Arial" w:cs="Arial" w:eastAsia="Arial" w:hAnsi="Arial"/>
                <w:sz w:val="19"/>
                <w:szCs w:val="19"/>
                <w:color w:val="auto"/>
              </w:rPr>
              <w:t>Money market fund</w:t>
            </w:r>
          </w:p>
        </w:tc>
        <w:tc>
          <w:tcPr>
            <w:tcW w:w="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9"/>
                <w:szCs w:val="19"/>
                <w:b w:val="1"/>
                <w:bCs w:val="1"/>
                <w:color w:val="auto"/>
              </w:rPr>
              <w:t>33,201,277</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20" w:type="dxa"/>
            <w:vAlign w:val="bottom"/>
          </w:tcPr>
          <w:p>
            <w:pPr>
              <w:jc w:val="right"/>
              <w:ind w:right="66"/>
              <w:spacing w:after="0"/>
              <w:rPr>
                <w:sz w:val="20"/>
                <w:szCs w:val="20"/>
                <w:color w:val="auto"/>
              </w:rPr>
            </w:pPr>
            <w:r>
              <w:rPr>
                <w:rFonts w:ascii="Arial" w:cs="Arial" w:eastAsia="Arial" w:hAnsi="Arial"/>
                <w:sz w:val="19"/>
                <w:szCs w:val="19"/>
                <w:b w:val="1"/>
                <w:bCs w:val="1"/>
                <w:color w:val="auto"/>
              </w:rPr>
              <w:t>36,975,032</w:t>
            </w:r>
          </w:p>
        </w:tc>
      </w:tr>
      <w:tr>
        <w:trPr>
          <w:trHeight w:val="243"/>
        </w:trPr>
        <w:tc>
          <w:tcPr>
            <w:tcW w:w="6400" w:type="dxa"/>
            <w:vAlign w:val="bottom"/>
          </w:tcPr>
          <w:p>
            <w:pPr>
              <w:ind w:left="220"/>
              <w:spacing w:after="0"/>
              <w:rPr>
                <w:sz w:val="20"/>
                <w:szCs w:val="20"/>
                <w:color w:val="auto"/>
              </w:rPr>
            </w:pPr>
            <w:r>
              <w:rPr>
                <w:rFonts w:ascii="Arial" w:cs="Arial" w:eastAsia="Arial" w:hAnsi="Arial"/>
                <w:sz w:val="19"/>
                <w:szCs w:val="19"/>
                <w:color w:val="auto"/>
              </w:rPr>
              <w:t>Self-directed brokerage accounts</w:t>
            </w:r>
          </w:p>
        </w:tc>
        <w:tc>
          <w:tcPr>
            <w:tcW w:w="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9"/>
                <w:szCs w:val="19"/>
                <w:b w:val="1"/>
                <w:bCs w:val="1"/>
                <w:color w:val="auto"/>
              </w:rPr>
              <w:t>22,423,772</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20" w:type="dxa"/>
            <w:vAlign w:val="bottom"/>
          </w:tcPr>
          <w:p>
            <w:pPr>
              <w:jc w:val="right"/>
              <w:ind w:right="66"/>
              <w:spacing w:after="0"/>
              <w:rPr>
                <w:sz w:val="20"/>
                <w:szCs w:val="20"/>
                <w:color w:val="auto"/>
              </w:rPr>
            </w:pPr>
            <w:r>
              <w:rPr>
                <w:rFonts w:ascii="Arial" w:cs="Arial" w:eastAsia="Arial" w:hAnsi="Arial"/>
                <w:sz w:val="19"/>
                <w:szCs w:val="19"/>
                <w:b w:val="1"/>
                <w:bCs w:val="1"/>
                <w:color w:val="auto"/>
              </w:rPr>
              <w:t>18,943,213</w:t>
            </w:r>
          </w:p>
        </w:tc>
      </w:tr>
      <w:tr>
        <w:trPr>
          <w:trHeight w:val="243"/>
        </w:trPr>
        <w:tc>
          <w:tcPr>
            <w:tcW w:w="6400" w:type="dxa"/>
            <w:vAlign w:val="bottom"/>
          </w:tcPr>
          <w:p>
            <w:pPr>
              <w:ind w:left="220"/>
              <w:spacing w:after="0"/>
              <w:rPr>
                <w:sz w:val="20"/>
                <w:szCs w:val="20"/>
                <w:color w:val="auto"/>
              </w:rPr>
            </w:pPr>
            <w:r>
              <w:rPr>
                <w:rFonts w:ascii="Arial" w:cs="Arial" w:eastAsia="Arial" w:hAnsi="Arial"/>
                <w:sz w:val="19"/>
                <w:szCs w:val="19"/>
                <w:color w:val="auto"/>
              </w:rPr>
              <w:t>STMicroelectronics N.V. stock fund</w:t>
            </w:r>
          </w:p>
        </w:tc>
        <w:tc>
          <w:tcPr>
            <w:tcW w:w="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9"/>
                <w:szCs w:val="19"/>
                <w:b w:val="1"/>
                <w:bCs w:val="1"/>
                <w:color w:val="auto"/>
              </w:rPr>
              <w:t>7,572,676</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20" w:type="dxa"/>
            <w:vAlign w:val="bottom"/>
          </w:tcPr>
          <w:p>
            <w:pPr>
              <w:jc w:val="right"/>
              <w:ind w:right="66"/>
              <w:spacing w:after="0"/>
              <w:rPr>
                <w:sz w:val="20"/>
                <w:szCs w:val="20"/>
                <w:color w:val="auto"/>
              </w:rPr>
            </w:pPr>
            <w:r>
              <w:rPr>
                <w:rFonts w:ascii="Arial" w:cs="Arial" w:eastAsia="Arial" w:hAnsi="Arial"/>
                <w:sz w:val="19"/>
                <w:szCs w:val="19"/>
                <w:b w:val="1"/>
                <w:bCs w:val="1"/>
                <w:color w:val="auto"/>
              </w:rPr>
              <w:t>7,998,463</w:t>
            </w:r>
          </w:p>
        </w:tc>
      </w:tr>
      <w:tr>
        <w:trPr>
          <w:trHeight w:val="243"/>
        </w:trPr>
        <w:tc>
          <w:tcPr>
            <w:tcW w:w="6400" w:type="dxa"/>
            <w:vAlign w:val="bottom"/>
          </w:tcPr>
          <w:p>
            <w:pPr>
              <w:ind w:left="220"/>
              <w:spacing w:after="0"/>
              <w:rPr>
                <w:sz w:val="20"/>
                <w:szCs w:val="20"/>
                <w:color w:val="auto"/>
              </w:rPr>
            </w:pPr>
            <w:r>
              <w:rPr>
                <w:rFonts w:ascii="Arial" w:cs="Arial" w:eastAsia="Arial" w:hAnsi="Arial"/>
                <w:sz w:val="19"/>
                <w:szCs w:val="19"/>
                <w:color w:val="auto"/>
              </w:rPr>
              <w:t>Common collective trust</w:t>
            </w:r>
          </w:p>
        </w:tc>
        <w:tc>
          <w:tcPr>
            <w:tcW w:w="5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8,122,031</w:t>
            </w:r>
          </w:p>
        </w:tc>
        <w:tc>
          <w:tcPr>
            <w:tcW w:w="3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b w:val="1"/>
                <w:bCs w:val="1"/>
                <w:color w:val="auto"/>
              </w:rPr>
              <w:t>6,040,872</w:t>
            </w:r>
          </w:p>
        </w:tc>
      </w:tr>
      <w:tr>
        <w:trPr>
          <w:trHeight w:val="509"/>
        </w:trPr>
        <w:tc>
          <w:tcPr>
            <w:tcW w:w="6400" w:type="dxa"/>
            <w:vAlign w:val="bottom"/>
          </w:tcPr>
          <w:p>
            <w:pPr>
              <w:spacing w:after="0"/>
              <w:rPr>
                <w:sz w:val="20"/>
                <w:szCs w:val="20"/>
                <w:color w:val="auto"/>
              </w:rPr>
            </w:pPr>
            <w:r>
              <w:rPr>
                <w:rFonts w:ascii="Arial" w:cs="Arial" w:eastAsia="Arial" w:hAnsi="Arial"/>
                <w:sz w:val="19"/>
                <w:szCs w:val="19"/>
                <w:color w:val="auto"/>
              </w:rPr>
              <w:t>Total investments</w:t>
            </w:r>
          </w:p>
        </w:tc>
        <w:tc>
          <w:tcPr>
            <w:tcW w:w="5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9"/>
                <w:szCs w:val="19"/>
                <w:b w:val="1"/>
                <w:bCs w:val="1"/>
                <w:color w:val="auto"/>
              </w:rPr>
              <w:t>604,934,206</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jc w:val="right"/>
              <w:ind w:right="66"/>
              <w:spacing w:after="0"/>
              <w:rPr>
                <w:sz w:val="20"/>
                <w:szCs w:val="20"/>
                <w:color w:val="auto"/>
              </w:rPr>
            </w:pPr>
            <w:r>
              <w:rPr>
                <w:rFonts w:ascii="Arial" w:cs="Arial" w:eastAsia="Arial" w:hAnsi="Arial"/>
                <w:sz w:val="19"/>
                <w:szCs w:val="19"/>
                <w:b w:val="1"/>
                <w:bCs w:val="1"/>
                <w:color w:val="auto"/>
              </w:rPr>
              <w:t>570,800,076</w:t>
            </w:r>
          </w:p>
        </w:tc>
      </w:tr>
      <w:tr>
        <w:trPr>
          <w:trHeight w:val="497"/>
        </w:trPr>
        <w:tc>
          <w:tcPr>
            <w:tcW w:w="6400" w:type="dxa"/>
            <w:vAlign w:val="bottom"/>
          </w:tcPr>
          <w:p>
            <w:pPr>
              <w:spacing w:after="0"/>
              <w:rPr>
                <w:sz w:val="20"/>
                <w:szCs w:val="20"/>
                <w:color w:val="auto"/>
              </w:rPr>
            </w:pPr>
            <w:r>
              <w:rPr>
                <w:rFonts w:ascii="Arial" w:cs="Arial" w:eastAsia="Arial" w:hAnsi="Arial"/>
                <w:sz w:val="19"/>
                <w:szCs w:val="19"/>
                <w:color w:val="auto"/>
              </w:rPr>
              <w:t>Notes receivable from participants</w:t>
            </w:r>
          </w:p>
        </w:tc>
        <w:tc>
          <w:tcPr>
            <w:tcW w:w="5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1,617,395</w:t>
            </w:r>
          </w:p>
        </w:tc>
        <w:tc>
          <w:tcPr>
            <w:tcW w:w="3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b w:val="1"/>
                <w:bCs w:val="1"/>
                <w:color w:val="auto"/>
              </w:rPr>
              <w:t>1,465,832</w:t>
            </w:r>
          </w:p>
        </w:tc>
      </w:tr>
      <w:tr>
        <w:trPr>
          <w:trHeight w:val="509"/>
        </w:trPr>
        <w:tc>
          <w:tcPr>
            <w:tcW w:w="6400" w:type="dxa"/>
            <w:vAlign w:val="bottom"/>
          </w:tcPr>
          <w:p>
            <w:pPr>
              <w:spacing w:after="0"/>
              <w:rPr>
                <w:sz w:val="20"/>
                <w:szCs w:val="20"/>
                <w:color w:val="auto"/>
              </w:rPr>
            </w:pPr>
            <w:r>
              <w:rPr>
                <w:rFonts w:ascii="Arial" w:cs="Arial" w:eastAsia="Arial" w:hAnsi="Arial"/>
                <w:sz w:val="19"/>
                <w:szCs w:val="19"/>
                <w:color w:val="auto"/>
              </w:rPr>
              <w:t>Total assets</w:t>
            </w:r>
          </w:p>
        </w:tc>
        <w:tc>
          <w:tcPr>
            <w:tcW w:w="5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9"/>
                <w:szCs w:val="19"/>
                <w:b w:val="1"/>
                <w:bCs w:val="1"/>
                <w:color w:val="auto"/>
              </w:rPr>
              <w:t>606,551,601</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jc w:val="right"/>
              <w:ind w:right="66"/>
              <w:spacing w:after="0"/>
              <w:rPr>
                <w:sz w:val="20"/>
                <w:szCs w:val="20"/>
                <w:color w:val="auto"/>
              </w:rPr>
            </w:pPr>
            <w:r>
              <w:rPr>
                <w:rFonts w:ascii="Arial" w:cs="Arial" w:eastAsia="Arial" w:hAnsi="Arial"/>
                <w:sz w:val="19"/>
                <w:szCs w:val="19"/>
                <w:b w:val="1"/>
                <w:bCs w:val="1"/>
                <w:color w:val="auto"/>
              </w:rPr>
              <w:t>572,265,908</w:t>
            </w:r>
          </w:p>
        </w:tc>
      </w:tr>
      <w:tr>
        <w:trPr>
          <w:trHeight w:val="497"/>
        </w:trPr>
        <w:tc>
          <w:tcPr>
            <w:tcW w:w="6400" w:type="dxa"/>
            <w:vAlign w:val="bottom"/>
          </w:tcPr>
          <w:p>
            <w:pPr>
              <w:spacing w:after="0"/>
              <w:rPr>
                <w:sz w:val="20"/>
                <w:szCs w:val="20"/>
                <w:color w:val="auto"/>
              </w:rPr>
            </w:pPr>
            <w:r>
              <w:rPr>
                <w:rFonts w:ascii="Arial" w:cs="Arial" w:eastAsia="Arial" w:hAnsi="Arial"/>
                <w:sz w:val="19"/>
                <w:szCs w:val="19"/>
                <w:b w:val="1"/>
                <w:bCs w:val="1"/>
                <w:color w:val="auto"/>
              </w:rPr>
              <w:t>Liabilities</w:t>
            </w: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9"/>
                <w:szCs w:val="19"/>
                <w:color w:val="auto"/>
              </w:rPr>
              <w:t>Accrued fees and other liabilities</w:t>
            </w:r>
          </w:p>
        </w:tc>
        <w:tc>
          <w:tcPr>
            <w:tcW w:w="5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28,137</w:t>
            </w:r>
          </w:p>
        </w:tc>
        <w:tc>
          <w:tcPr>
            <w:tcW w:w="3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b w:val="1"/>
                <w:bCs w:val="1"/>
                <w:color w:val="auto"/>
              </w:rPr>
              <w:t>22,134</w:t>
            </w:r>
          </w:p>
        </w:tc>
      </w:tr>
      <w:tr>
        <w:trPr>
          <w:trHeight w:val="509"/>
        </w:trPr>
        <w:tc>
          <w:tcPr>
            <w:tcW w:w="6400" w:type="dxa"/>
            <w:vAlign w:val="bottom"/>
          </w:tcPr>
          <w:p>
            <w:pPr>
              <w:spacing w:after="0"/>
              <w:rPr>
                <w:sz w:val="20"/>
                <w:szCs w:val="20"/>
                <w:color w:val="auto"/>
              </w:rPr>
            </w:pPr>
            <w:r>
              <w:rPr>
                <w:rFonts w:ascii="Arial" w:cs="Arial" w:eastAsia="Arial" w:hAnsi="Arial"/>
                <w:sz w:val="19"/>
                <w:szCs w:val="19"/>
                <w:color w:val="auto"/>
              </w:rPr>
              <w:t>Total liabilities</w:t>
            </w:r>
          </w:p>
        </w:tc>
        <w:tc>
          <w:tcPr>
            <w:tcW w:w="5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9"/>
                <w:szCs w:val="19"/>
                <w:b w:val="1"/>
                <w:bCs w:val="1"/>
                <w:color w:val="auto"/>
              </w:rPr>
              <w:t>28,137</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jc w:val="right"/>
              <w:ind w:right="66"/>
              <w:spacing w:after="0"/>
              <w:rPr>
                <w:sz w:val="20"/>
                <w:szCs w:val="20"/>
                <w:color w:val="auto"/>
              </w:rPr>
            </w:pPr>
            <w:r>
              <w:rPr>
                <w:rFonts w:ascii="Arial" w:cs="Arial" w:eastAsia="Arial" w:hAnsi="Arial"/>
                <w:sz w:val="19"/>
                <w:szCs w:val="19"/>
                <w:b w:val="1"/>
                <w:bCs w:val="1"/>
                <w:color w:val="auto"/>
              </w:rPr>
              <w:t>22,134</w:t>
            </w:r>
          </w:p>
        </w:tc>
      </w:tr>
      <w:tr>
        <w:trPr>
          <w:trHeight w:val="531"/>
        </w:trPr>
        <w:tc>
          <w:tcPr>
            <w:tcW w:w="6400" w:type="dxa"/>
            <w:vAlign w:val="bottom"/>
          </w:tcPr>
          <w:p>
            <w:pPr>
              <w:spacing w:after="0"/>
              <w:rPr>
                <w:sz w:val="20"/>
                <w:szCs w:val="20"/>
                <w:color w:val="auto"/>
              </w:rPr>
            </w:pPr>
            <w:r>
              <w:rPr>
                <w:rFonts w:ascii="Arial" w:cs="Arial" w:eastAsia="Arial" w:hAnsi="Arial"/>
                <w:sz w:val="19"/>
                <w:szCs w:val="19"/>
                <w:b w:val="1"/>
                <w:bCs w:val="1"/>
                <w:color w:val="auto"/>
              </w:rPr>
              <w:t>Net assets available for plan benefits</w:t>
            </w:r>
          </w:p>
        </w:tc>
        <w:tc>
          <w:tcPr>
            <w:tcW w:w="54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606,523,464</w:t>
            </w:r>
          </w:p>
        </w:tc>
        <w:tc>
          <w:tcPr>
            <w:tcW w:w="320" w:type="dxa"/>
            <w:vAlign w:val="bottom"/>
          </w:tcPr>
          <w:p>
            <w:pPr>
              <w:spacing w:after="0"/>
              <w:rPr>
                <w:sz w:val="24"/>
                <w:szCs w:val="24"/>
                <w:color w:val="auto"/>
              </w:rPr>
            </w:pPr>
          </w:p>
        </w:tc>
        <w:tc>
          <w:tcPr>
            <w:tcW w:w="70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b w:val="1"/>
                <w:bCs w:val="1"/>
                <w:color w:val="auto"/>
              </w:rPr>
              <w:t>$</w:t>
            </w:r>
          </w:p>
        </w:tc>
        <w:tc>
          <w:tcPr>
            <w:tcW w:w="162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b w:val="1"/>
                <w:bCs w:val="1"/>
                <w:color w:val="auto"/>
              </w:rPr>
              <w:t>572,243,774</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 w:right="339" w:bottom="1440" w:gutter="0" w:footer="0" w:header="0"/>
        </w:sectPr>
      </w:pPr>
    </w:p>
    <w:bookmarkStart w:id="5" w:name="page6"/>
    <w:bookmarkEnd w:id="5"/>
    <w:p>
      <w:pPr>
        <w:jc w:val="center"/>
        <w:ind w:right="-439"/>
        <w:spacing w:after="0"/>
        <w:rPr>
          <w:sz w:val="20"/>
          <w:szCs w:val="20"/>
          <w:color w:val="auto"/>
        </w:rPr>
      </w:pPr>
      <w:r>
        <w:rPr>
          <w:rFonts w:ascii="Arial" w:cs="Arial" w:eastAsia="Arial" w:hAnsi="Arial"/>
          <w:sz w:val="29"/>
          <w:szCs w:val="29"/>
          <w:b w:val="1"/>
          <w:bCs w:val="1"/>
          <w:color w:val="auto"/>
        </w:rPr>
        <w:t>STMicroelectronics, Inc. 401(k) Savings Plan</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1"/>
          <w:szCs w:val="21"/>
          <w:b w:val="1"/>
          <w:bCs w:val="1"/>
          <w:color w:val="auto"/>
        </w:rPr>
        <w:t>Statement of Changes in Net Assets Available for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8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Additions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Investment income:</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9"/>
          <w:szCs w:val="19"/>
          <w:color w:val="auto"/>
        </w:rPr>
        <w:t>Net appreciation in fair value of investments</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9"/>
          <w:szCs w:val="19"/>
          <w:color w:val="auto"/>
        </w:rPr>
        <w:t>Interest and dividends</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9"/>
          <w:szCs w:val="19"/>
          <w:color w:val="auto"/>
        </w:rPr>
        <w:t>Total investment income</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Interest on notes receivable from participants</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Contributions: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9"/>
          <w:szCs w:val="19"/>
          <w:color w:val="auto"/>
        </w:rPr>
        <w:t>Participant</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9"/>
          <w:szCs w:val="19"/>
          <w:color w:val="auto"/>
        </w:rPr>
        <w:t>Employer</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9"/>
          <w:szCs w:val="19"/>
          <w:color w:val="auto"/>
        </w:rPr>
        <w:t>Rollovers</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9"/>
          <w:szCs w:val="19"/>
          <w:color w:val="auto"/>
        </w:rPr>
        <w:t>Total contributions</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9"/>
          <w:szCs w:val="19"/>
          <w:color w:val="auto"/>
        </w:rPr>
        <w:t>Total additions</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Deductions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9"/>
          <w:szCs w:val="19"/>
          <w:color w:val="auto"/>
        </w:rPr>
        <w:t>Benefits paid to participants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Administrative expense, net</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9"/>
          <w:szCs w:val="19"/>
          <w:color w:val="auto"/>
        </w:rPr>
        <w:t>Total deductions</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Net increase in net assets available for plan benefits</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Net assets available for plan benefits</w:t>
      </w:r>
      <w:r>
        <w:rPr>
          <w:rFonts w:ascii="Arial" w:cs="Arial" w:eastAsia="Arial" w:hAnsi="Arial"/>
          <w:sz w:val="19"/>
          <w:szCs w:val="19"/>
          <w:color w:val="auto"/>
        </w:rPr>
        <w:t>,</w:t>
      </w:r>
      <w:r>
        <w:rPr>
          <w:rFonts w:ascii="Arial" w:cs="Arial" w:eastAsia="Arial" w:hAnsi="Arial"/>
          <w:sz w:val="19"/>
          <w:szCs w:val="19"/>
          <w:b w:val="1"/>
          <w:bCs w:val="1"/>
          <w:color w:val="auto"/>
        </w:rPr>
        <w:t xml:space="preserve"> beginning of year</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Net assets available for plan benefits</w:t>
      </w:r>
      <w:r>
        <w:rPr>
          <w:rFonts w:ascii="Arial" w:cs="Arial" w:eastAsia="Arial" w:hAnsi="Arial"/>
          <w:sz w:val="19"/>
          <w:szCs w:val="19"/>
          <w:color w:val="auto"/>
        </w:rPr>
        <w:t>,</w:t>
      </w:r>
      <w:r>
        <w:rPr>
          <w:rFonts w:ascii="Arial" w:cs="Arial" w:eastAsia="Arial" w:hAnsi="Arial"/>
          <w:sz w:val="19"/>
          <w:szCs w:val="19"/>
          <w:b w:val="1"/>
          <w:bCs w:val="1"/>
          <w:color w:val="auto"/>
        </w:rPr>
        <w:t xml:space="preserve"> end of year</w:t>
      </w: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2557"/>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22"/>
        <w:spacing w:after="0"/>
        <w:rPr>
          <w:sz w:val="20"/>
          <w:szCs w:val="20"/>
          <w:color w:val="auto"/>
        </w:rPr>
      </w:pPr>
      <w:r>
        <w:rPr>
          <w:rFonts w:ascii="Arial" w:cs="Arial" w:eastAsia="Arial" w:hAnsi="Arial"/>
          <w:sz w:val="19"/>
          <w:szCs w:val="19"/>
          <w:color w:val="auto"/>
        </w:rPr>
        <w:t>Year Ended</w:t>
      </w:r>
    </w:p>
    <w:p>
      <w:pPr>
        <w:spacing w:after="0" w:line="31" w:lineRule="exact"/>
        <w:rPr>
          <w:sz w:val="20"/>
          <w:szCs w:val="20"/>
          <w:color w:val="auto"/>
        </w:rPr>
      </w:pPr>
    </w:p>
    <w:p>
      <w:pPr>
        <w:jc w:val="center"/>
        <w:ind w:right="-122"/>
        <w:spacing w:after="0"/>
        <w:rPr>
          <w:sz w:val="20"/>
          <w:szCs w:val="20"/>
          <w:color w:val="auto"/>
        </w:rPr>
      </w:pPr>
      <w:r>
        <w:rPr>
          <w:rFonts w:ascii="Arial" w:cs="Arial" w:eastAsia="Arial" w:hAnsi="Arial"/>
          <w:sz w:val="19"/>
          <w:szCs w:val="19"/>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12065</wp:posOffset>
            </wp:positionV>
            <wp:extent cx="15259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259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03" w:hanging="903"/>
        <w:spacing w:after="0"/>
        <w:tabs>
          <w:tab w:leader="none" w:pos="90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66,889,757</w:t>
      </w:r>
    </w:p>
    <w:p>
      <w:pPr>
        <w:spacing w:after="0" w:line="52" w:lineRule="exact"/>
        <w:rPr>
          <w:rFonts w:ascii="Arial" w:cs="Arial" w:eastAsia="Arial" w:hAnsi="Arial"/>
          <w:sz w:val="18"/>
          <w:szCs w:val="18"/>
          <w:b w:val="1"/>
          <w:bCs w:val="1"/>
          <w:color w:val="auto"/>
        </w:rPr>
      </w:pPr>
    </w:p>
    <w:p>
      <w:pPr>
        <w:ind w:left="903"/>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25,046,121</w:t>
      </w:r>
    </w:p>
    <w:p>
      <w:pPr>
        <w:spacing w:after="0" w:line="289" w:lineRule="exact"/>
        <w:rPr>
          <w:rFonts w:ascii="Arial" w:cs="Arial" w:eastAsia="Arial" w:hAnsi="Arial"/>
          <w:sz w:val="18"/>
          <w:szCs w:val="18"/>
          <w:b w:val="1"/>
          <w:bCs w:val="1"/>
          <w:color w:val="auto"/>
        </w:rPr>
      </w:pPr>
    </w:p>
    <w:p>
      <w:pPr>
        <w:ind w:left="903"/>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91,935,878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-302260</wp:posOffset>
            </wp:positionV>
            <wp:extent cx="15259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120,066</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13,116,645</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7,518,592</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1,460,278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5715</wp:posOffset>
            </wp:positionV>
            <wp:extent cx="15259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58" w:lineRule="exact"/>
        <w:rPr>
          <w:sz w:val="20"/>
          <w:szCs w:val="20"/>
          <w:color w:val="auto"/>
        </w:rPr>
      </w:pPr>
    </w:p>
    <w:p>
      <w:pPr>
        <w:ind w:left="903"/>
        <w:spacing w:after="0"/>
        <w:rPr>
          <w:sz w:val="20"/>
          <w:szCs w:val="20"/>
          <w:color w:val="auto"/>
        </w:rPr>
      </w:pPr>
      <w:r>
        <w:rPr>
          <w:rFonts w:ascii="Arial" w:cs="Arial" w:eastAsia="Arial" w:hAnsi="Arial"/>
          <w:sz w:val="18"/>
          <w:szCs w:val="18"/>
          <w:b w:val="1"/>
          <w:bCs w:val="1"/>
          <w:color w:val="auto"/>
        </w:rPr>
        <w:t>22,095,515</w:t>
      </w:r>
    </w:p>
    <w:p>
      <w:pPr>
        <w:spacing w:after="0" w:line="306" w:lineRule="exact"/>
        <w:rPr>
          <w:sz w:val="20"/>
          <w:szCs w:val="20"/>
          <w:color w:val="auto"/>
        </w:rPr>
      </w:pPr>
    </w:p>
    <w:p>
      <w:pPr>
        <w:ind w:left="803"/>
        <w:spacing w:after="0"/>
        <w:rPr>
          <w:sz w:val="20"/>
          <w:szCs w:val="20"/>
          <w:color w:val="auto"/>
        </w:rPr>
      </w:pPr>
      <w:r>
        <w:rPr>
          <w:rFonts w:ascii="Arial" w:cs="Arial" w:eastAsia="Arial" w:hAnsi="Arial"/>
          <w:sz w:val="18"/>
          <w:szCs w:val="18"/>
          <w:b w:val="1"/>
          <w:bCs w:val="1"/>
          <w:color w:val="auto"/>
        </w:rPr>
        <w:t>114,151,459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22860</wp:posOffset>
            </wp:positionV>
            <wp:extent cx="15259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79,521,493</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350,276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5715</wp:posOffset>
            </wp:positionV>
            <wp:extent cx="15259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58" w:lineRule="exact"/>
        <w:rPr>
          <w:sz w:val="20"/>
          <w:szCs w:val="20"/>
          <w:color w:val="auto"/>
        </w:rPr>
      </w:pPr>
    </w:p>
    <w:p>
      <w:pPr>
        <w:ind w:left="903"/>
        <w:spacing w:after="0"/>
        <w:rPr>
          <w:sz w:val="20"/>
          <w:szCs w:val="20"/>
          <w:color w:val="auto"/>
        </w:rPr>
      </w:pPr>
      <w:r>
        <w:rPr>
          <w:rFonts w:ascii="Arial" w:cs="Arial" w:eastAsia="Arial" w:hAnsi="Arial"/>
          <w:sz w:val="18"/>
          <w:szCs w:val="18"/>
          <w:b w:val="1"/>
          <w:bCs w:val="1"/>
          <w:color w:val="auto"/>
        </w:rPr>
        <w:t>79,871,769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22860</wp:posOffset>
            </wp:positionV>
            <wp:extent cx="15259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86" w:lineRule="exact"/>
        <w:rPr>
          <w:sz w:val="20"/>
          <w:szCs w:val="20"/>
          <w:color w:val="auto"/>
        </w:rPr>
      </w:pPr>
    </w:p>
    <w:p>
      <w:pPr>
        <w:ind w:left="903"/>
        <w:spacing w:after="0"/>
        <w:rPr>
          <w:sz w:val="20"/>
          <w:szCs w:val="20"/>
          <w:color w:val="auto"/>
        </w:rPr>
      </w:pPr>
      <w:r>
        <w:rPr>
          <w:rFonts w:ascii="Arial" w:cs="Arial" w:eastAsia="Arial" w:hAnsi="Arial"/>
          <w:sz w:val="18"/>
          <w:szCs w:val="18"/>
          <w:b w:val="1"/>
          <w:bCs w:val="1"/>
          <w:color w:val="auto"/>
        </w:rPr>
        <w:t>34,279,690</w:t>
      </w:r>
    </w:p>
    <w:p>
      <w:pPr>
        <w:spacing w:after="0" w:line="306" w:lineRule="exact"/>
        <w:rPr>
          <w:sz w:val="20"/>
          <w:szCs w:val="20"/>
          <w:color w:val="auto"/>
        </w:rPr>
      </w:pPr>
    </w:p>
    <w:p>
      <w:pPr>
        <w:ind w:left="803"/>
        <w:spacing w:after="0"/>
        <w:rPr>
          <w:sz w:val="20"/>
          <w:szCs w:val="20"/>
          <w:color w:val="auto"/>
        </w:rPr>
      </w:pPr>
      <w:r>
        <w:rPr>
          <w:rFonts w:ascii="Arial" w:cs="Arial" w:eastAsia="Arial" w:hAnsi="Arial"/>
          <w:sz w:val="18"/>
          <w:szCs w:val="18"/>
          <w:b w:val="1"/>
          <w:bCs w:val="1"/>
          <w:color w:val="auto"/>
        </w:rPr>
        <w:t>572,243,774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22860</wp:posOffset>
            </wp:positionV>
            <wp:extent cx="15259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286" w:lineRule="exact"/>
        <w:rPr>
          <w:sz w:val="20"/>
          <w:szCs w:val="20"/>
          <w:color w:val="auto"/>
        </w:rPr>
      </w:pPr>
    </w:p>
    <w:p>
      <w:pPr>
        <w:ind w:left="803" w:hanging="803"/>
        <w:spacing w:after="0"/>
        <w:tabs>
          <w:tab w:leader="none" w:pos="80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606,523,464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22860</wp:posOffset>
            </wp:positionV>
            <wp:extent cx="1525905"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25905" cy="34290"/>
                    </a:xfrm>
                    <a:prstGeom prst="rect">
                      <a:avLst/>
                    </a:prstGeom>
                    <a:noFill/>
                  </pic:spPr>
                </pic:pic>
              </a:graphicData>
            </a:graphic>
          </wp:anchor>
        </w:drawing>
      </w:r>
    </w:p>
    <w:p>
      <w:pPr>
        <w:sectPr>
          <w:pgSz w:w="11900" w:h="16838" w:orient="portrait"/>
          <w:cols w:equalWidth="0" w:num="2">
            <w:col w:w="8237" w:space="720"/>
            <w:col w:w="1843"/>
          </w:cols>
          <w:pgMar w:left="320" w:top="80" w:right="7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29"/>
          <w:szCs w:val="29"/>
          <w:b w:val="1"/>
          <w:bCs w:val="1"/>
          <w:color w:val="auto"/>
        </w:rPr>
        <w:t>STMicroelectronics, Inc. 401(k) Savings Plan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6350</wp:posOffset>
            </wp:positionV>
            <wp:extent cx="61804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Plan Description</w:t>
      </w:r>
    </w:p>
    <w:p>
      <w:pPr>
        <w:spacing w:after="0" w:line="221"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The following description of the STMicroelectronics, Inc. 401(k) Savings Plan (the “Plan”) is provided for general information purposes only. Plan participants should refer to the summary plan description and the Plan document for a more comprehensive description of the Plan’s provisions.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212"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The Plan is a defined contribution 401(k) savings plan adopted on January 1, 1988 for the benefit of eligible employees of STMicroelectronics, Inc. (“ST, Inc. / Company / Employer / Plan Administrator”). The Plan permits voluntary participant contributions and employer automatic and matching contributions. The Plan is subject to the provisions of the Employee Retirement Income Security Act of 1974, as amended (“ERISA”).</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Administration</w:t>
      </w:r>
    </w:p>
    <w:p>
      <w:pPr>
        <w:spacing w:after="0" w:line="212"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The Company is responsible for the administration and operation of the Plan. Fidelity Management Trust Company is the Plan’s trustee (“Trustee”) and is responsible for the custody and management of the Plan’s assets. Fidelity Investment Institutional Operations Company, Inc., an affiliate of the Trustee, serves as the Plan’s recordkeeper.</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Eligibility</w:t>
      </w:r>
    </w:p>
    <w:p>
      <w:pPr>
        <w:spacing w:after="0" w:line="21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All employees of ST, Inc. who are at least 18 years of age are eligible to participate in the Plan. Employees who are excluded from participating in the Plan are: (i) employees who are leased (as defined under code 414(n) of the Internal Revenue Code); (ii) an employee who is not a citizen of the United States, was transferred from employment with an affiliated company to employment with ST, Inc. for temporary expatriate service in the United States and was not a participant in the superseded plan on December 31, 1995;</w:t>
      </w:r>
    </w:p>
    <w:p>
      <w:pPr>
        <w:spacing w:after="0" w:line="1" w:lineRule="exact"/>
        <w:rPr>
          <w:sz w:val="20"/>
          <w:szCs w:val="20"/>
          <w:color w:val="auto"/>
        </w:rPr>
      </w:pPr>
    </w:p>
    <w:p>
      <w:pPr>
        <w:jc w:val="both"/>
        <w:ind w:firstLine="8"/>
        <w:spacing w:after="0" w:line="216" w:lineRule="auto"/>
        <w:tabs>
          <w:tab w:leader="none" w:pos="314" w:val="left"/>
        </w:tabs>
        <w:numPr>
          <w:ilvl w:val="0"/>
          <w:numId w:val="7"/>
        </w:numPr>
        <w:rPr>
          <w:rFonts w:ascii="Arial" w:cs="Arial" w:eastAsia="Arial" w:hAnsi="Arial"/>
          <w:sz w:val="19"/>
          <w:szCs w:val="19"/>
          <w:color w:val="auto"/>
        </w:rPr>
      </w:pPr>
      <w:r>
        <w:rPr>
          <w:rFonts w:ascii="Arial" w:cs="Arial" w:eastAsia="Arial" w:hAnsi="Arial"/>
          <w:sz w:val="19"/>
          <w:szCs w:val="19"/>
          <w:color w:val="auto"/>
        </w:rPr>
        <w:t>an employee who is an intern or co-op participating in an intern or co-op program; (iv) an employee who is bound by a collective bargaining agreement; or (v) an employee who was not a participant in the superseded plan on December 31, 1995, and for whom contributions are being made to or benefits are being accrued under a foreign governmental pension plan or foreign social security system or under a pension plan maintained by an affiliated company primarily for the benefit of employees who are nonresident aliens with respect to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Contributions</w:t>
      </w:r>
    </w:p>
    <w:p>
      <w:pPr>
        <w:spacing w:after="0" w:line="212" w:lineRule="exact"/>
        <w:rPr>
          <w:sz w:val="20"/>
          <w:szCs w:val="20"/>
          <w:color w:val="auto"/>
        </w:rPr>
      </w:pPr>
    </w:p>
    <w:p>
      <w:pPr>
        <w:jc w:val="both"/>
        <w:spacing w:after="0" w:line="214" w:lineRule="auto"/>
        <w:rPr>
          <w:sz w:val="20"/>
          <w:szCs w:val="20"/>
          <w:color w:val="auto"/>
        </w:rPr>
      </w:pPr>
      <w:r>
        <w:rPr>
          <w:rFonts w:ascii="Arial" w:cs="Arial" w:eastAsia="Arial" w:hAnsi="Arial"/>
          <w:sz w:val="19"/>
          <w:szCs w:val="19"/>
          <w:color w:val="auto"/>
        </w:rPr>
        <w:t>Eligible employees may make pre-tax deferrals, after-tax Roth 401(k) deferrals, or a combination of both up to 75% (or such lesser percentage as the President of STMicroelectronics, Inc. may specify from time to time), including catch-up contributions, of their compensation each pay period up to an annual tax dollar limitation in accordance with guidance of the Internal Revenue Service. The Internal Revenue Service limitations were $23,500 with an additional $7,500 catch-up for employees 50 or older during the calendar year 2025. Those employees between the ages of 60 and 63 are eligible to contribute up to $11,250 as a "super" catch-up contribution in lieu of the $7,500. Employer contributions are made by ST, Inc. each payroll period of 100% of the participant’s contribution up to 4% of participant’s eligible compensation. An additional contribution is made by ST, Inc. of 1% to 3% of each participant’s eligible compensation, based on a participant’s length of service. Participants may make Roth in-plan conversions. Rollover contributions are also permitted from a participant’s personal or prior employer tax deferred retirement accounts. Participants can change or suspend their contributions at any time.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Participant Accounts</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19"/>
          <w:szCs w:val="19"/>
          <w:color w:val="auto"/>
        </w:rPr>
        <w:t>Individual accounts are maintained for each participant of the Plan. Each participant’s account is credited with the participant’s contributions, company matching contributions, and Plan earnings as applicable. Participant accounts are also charged with withdrawals, an allocation of Plan losses as applicable, and per participant administrative expenses that are not paid by the Company. Allocations are based on participant earnings or account balances. The benefit to which a participant is entitled is the benefit that can be provided from the participant’s vested account.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9"/>
          <w:szCs w:val="29"/>
          <w:b w:val="1"/>
          <w:bCs w:val="1"/>
          <w:color w:val="auto"/>
        </w:rPr>
        <w:t>STMicroelectronics, Inc. 401(k) Savings Plan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6350</wp:posOffset>
            </wp:positionV>
            <wp:extent cx="61804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Vesting</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19"/>
          <w:szCs w:val="19"/>
          <w:color w:val="auto"/>
        </w:rPr>
        <w:t>Participants are immediately fully vested in both their contributions and ST, Inc. contributions and the earnings thereon. Prior to December 31, 2000, participants vested in ST, Inc. contributions and the earnings thereon 20% after one year of service and vested an additional 20% on each successive service anniversary date, becoming 100% vested after five years of service. Forfeitures under the Plan are generally used to reduce the amount of Employer contributions otherwise due to the Plan. The amounts of unallocated forfeitures at December 31, 2025 and 2024 were $54,641 and $74,929,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Benefit Payments</w:t>
      </w:r>
    </w:p>
    <w:p>
      <w:pPr>
        <w:spacing w:after="0" w:line="212"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Upon termination of employment, retirement or death, participants or beneficiaries may elect to receive benefit payments in the form of a single lump sum payment equal to the vested value of the participant’s account, or rollover all or part of the vested account balance into an IRA or another qualified plan, as defined in the Plan document.</w:t>
      </w:r>
    </w:p>
    <w:p>
      <w:pPr>
        <w:spacing w:after="0" w:line="185"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In-service withdrawals of pre-tax and Roth contributions are generally allowed in cases of hardship, defined as an immediate and heavy financial need. Participants may self-certify the need, and withdrawals may also be permitted under certain additional circumstances as allowed by the Plan.</w:t>
      </w:r>
    </w:p>
    <w:p>
      <w:pPr>
        <w:spacing w:after="0" w:line="185"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Prior plan after-tax and rollover contributions can be withdrawn at any time. Additionally, under certain circumstances relating to plans from previous acquisitions, a participant who has attained 59½ years of age may withdraw all or any portion of the amount credited to their prior plan elective deferral account.</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At December 31, 2025 and 2024, there were no benefit claims which had been processed and approved for payment but not yet paid.</w:t>
      </w:r>
    </w:p>
    <w:p>
      <w:pPr>
        <w:spacing w:after="0"/>
        <w:rPr>
          <w:sz w:val="20"/>
          <w:szCs w:val="20"/>
          <w:color w:val="auto"/>
        </w:rPr>
      </w:pPr>
      <w:r>
        <w:rPr>
          <w:rFonts w:ascii="Arial" w:cs="Arial" w:eastAsia="Arial" w:hAnsi="Arial"/>
          <w:sz w:val="19"/>
          <w:szCs w:val="19"/>
          <w:color w:val="auto"/>
        </w:rPr>
        <w:t>Benefit payments are determined, paid and taxed to participants based upon the date the check is first processed.</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Administrative Expense (Credit)</w:t>
      </w:r>
    </w:p>
    <w:p>
      <w:pPr>
        <w:spacing w:after="0" w:line="212"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Participants pay for the administrative expenses of the Plan, except to the extent the Company elects to pay such expenses. Plan administrative expenses, including but not limited to recordkeeping, trustee, audit and consulting fees, may be allocated to participant accounts using a combination of methods, including a per-participant fee and/or a pro rata allocation based on account balances. These expenses are charged to participant accounts periodically throughout the year, as applicable.</w:t>
      </w:r>
    </w:p>
    <w:p>
      <w:pPr>
        <w:spacing w:after="0" w:line="183"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Loan fees and certain withdrawal transactions are paid by the applicable participant’s accounts. Revenue credits generated by the Plan for certain investment fund options are reallocated back to those Plan participants who invested in those fund options. Any revenue credits attributable to a participant who no longer has an account in the Plan will be used to reduce future Plan expenses.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Notes Receivable from Participants</w:t>
      </w:r>
    </w:p>
    <w:p>
      <w:pPr>
        <w:spacing w:after="0" w:line="212"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The Plan allows for participant loans. A loan made to a Plan participant shall be in an amount that is not less than $1,000 and not more than 50% of the vested interest in the participant’s account up to $50,000. The repayment period for participant loans cannot exceed five years. At December 31, 2025, the loans bear interest in the range of 3.25% to 8.50%. The loans are collateralized by the borrower’s assignment of rights to their available account, as acknowledged by a promissory note.</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Investment Options</w:t>
      </w:r>
    </w:p>
    <w:p>
      <w:pPr>
        <w:spacing w:after="0" w:line="212"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Participants of the Plan may allocate contributions among various investment options. Participants may transfer assets between and among funds. Additionally, participants may change the investment allocation of their contributions at any time. The maximum employee contribution to either the STMicroelectronics N.V. Stock Fund or the self-directed brokerage account is set at 25% of eligible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9"/>
          <w:szCs w:val="29"/>
          <w:b w:val="1"/>
          <w:bCs w:val="1"/>
          <w:color w:val="auto"/>
        </w:rPr>
        <w:t>STMicroelectronics, Inc. 401(k) Savings Plan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6350</wp:posOffset>
            </wp:positionV>
            <wp:extent cx="61804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Accounting</w:t>
      </w:r>
    </w:p>
    <w:p>
      <w:pPr>
        <w:spacing w:after="0" w:line="212"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color w:val="auto"/>
        </w:rPr>
        <w:t>The accompanying financial statements have been prepared in accordance with accounting principles generally accepted in the United States (GAAP).</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212"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The preparation of financial statements in conformity with GAAP requires Plan management to make estimates and assumptions that affect the reported amounts of assets and liabilities and changes therein, and disclosure of contingent assets and liabilities.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Risks and Uncertainties</w:t>
      </w:r>
    </w:p>
    <w:p>
      <w:pPr>
        <w:spacing w:after="0" w:line="212"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The Plan provides for various investment options of specified registered investment companies, a common collective trust, company stock and a self-directed brokerage account. The underlying investments held by the funds may include stocks, bonds, fixed income securities, mutual funds and other investment securities. Such investments are exposed to various risks and uncertainties, such as interest rate risk, market risk, credit risk, economic changes, political unrest, regulatory changes, foreign currency risk and overall market volatility risk, among others. Due to the level of risk and uncertainty associated with certain investment securities, it is at least reasonably possible that changes in the values of investment securities in the near term could materially affect participant account balances and the amounts reported in the statements of net assets available for plan benefits.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Investment Valuation and Income Recognition</w:t>
      </w:r>
    </w:p>
    <w:p>
      <w:pPr>
        <w:spacing w:after="0" w:line="212"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Investments are measured at fair value. Fair value is the amount that would be received to sell an asset or paid to transfer a liability in an orderly transaction between market participants at the measurement date. See Note 4 for further discussion of fair value measurements.</w:t>
      </w:r>
    </w:p>
    <w:p>
      <w:pPr>
        <w:spacing w:after="0" w:line="185" w:lineRule="exact"/>
        <w:rPr>
          <w:sz w:val="20"/>
          <w:szCs w:val="20"/>
          <w:color w:val="auto"/>
        </w:rPr>
      </w:pPr>
    </w:p>
    <w:p>
      <w:pPr>
        <w:jc w:val="both"/>
        <w:ind w:right="20"/>
        <w:spacing w:after="0" w:line="229" w:lineRule="auto"/>
        <w:rPr>
          <w:sz w:val="20"/>
          <w:szCs w:val="20"/>
          <w:color w:val="auto"/>
        </w:rPr>
      </w:pPr>
      <w:r>
        <w:rPr>
          <w:rFonts w:ascii="Arial" w:cs="Arial" w:eastAsia="Arial" w:hAnsi="Arial"/>
          <w:sz w:val="19"/>
          <w:szCs w:val="19"/>
          <w:color w:val="auto"/>
        </w:rPr>
        <w:t>Purchases and sales of the investments within the Plan are reflected on a trade-date basis. Net appreciation (depreciation) in the fair value of investments includes the Plan’s gains and losses on investments bought and sold as well as held during the year. Dividend income is recorded on the ex-dividend date. Interest income is accrued as earned.</w:t>
      </w:r>
    </w:p>
    <w:p>
      <w:pPr>
        <w:spacing w:after="0" w:line="185"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The Plan presents in the statement of changes in net assets available for plan benefits the net depreciation or net appreciation in fair value of investments, which consists of the net realized gains or losses and the net unrealized appreciation or depreciation of those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Notes Receivable from Participants</w:t>
      </w:r>
    </w:p>
    <w:p>
      <w:pPr>
        <w:spacing w:after="0" w:line="212"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Notes receivable from participants are measured at unpaid principal balance plus accrued but unpaid interest, which approximates fair value. Interest income on participant loans is recorded as earned. Delinquent notes are recorded as distributions based on the terms of the Plan document. The Plan does not record an allowance for loan losses, as repayments of principal and interest are received through payroll deductions and the notes are collateralized by the participants’ account balances.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Benefit Payments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Benefit payments are recorded when paid.</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Contributions</w:t>
      </w:r>
    </w:p>
    <w:p>
      <w:pPr>
        <w:spacing w:after="0" w:line="239" w:lineRule="exact"/>
        <w:rPr>
          <w:sz w:val="20"/>
          <w:szCs w:val="20"/>
          <w:color w:val="auto"/>
        </w:rPr>
      </w:pPr>
    </w:p>
    <w:p>
      <w:pPr>
        <w:jc w:val="both"/>
        <w:ind w:right="20"/>
        <w:spacing w:after="0" w:line="270" w:lineRule="auto"/>
        <w:rPr>
          <w:sz w:val="20"/>
          <w:szCs w:val="20"/>
          <w:color w:val="auto"/>
        </w:rPr>
      </w:pPr>
      <w:r>
        <w:rPr>
          <w:rFonts w:ascii="Arial" w:cs="Arial" w:eastAsia="Arial" w:hAnsi="Arial"/>
          <w:sz w:val="19"/>
          <w:szCs w:val="19"/>
          <w:color w:val="auto"/>
        </w:rPr>
        <w:t>Participant contributions and related employer contributions are recognized during the period in which the respective payroll deductions are made.</w:t>
      </w:r>
    </w:p>
    <w:p>
      <w:pPr>
        <w:sectPr>
          <w:pgSz w:w="11900" w:h="16838" w:orient="portrait"/>
          <w:cols w:equalWidth="0" w:num="1">
            <w:col w:w="11240"/>
          </w:cols>
          <w:pgMar w:left="320" w:top="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9"/>
          <w:szCs w:val="29"/>
          <w:b w:val="1"/>
          <w:bCs w:val="1"/>
          <w:color w:val="auto"/>
        </w:rPr>
        <w:t>STMicroelectronics, Inc. 401(k) Savings Plan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6350</wp:posOffset>
            </wp:positionV>
            <wp:extent cx="61804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Concentrations of Credit Risk</w:t>
      </w:r>
    </w:p>
    <w:p>
      <w:pPr>
        <w:spacing w:after="0" w:line="221"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Each investment fund is diversified through a portfolio containing a wide variety of investments that fit the particular investment strategy and targeted composition. Further diversification is available to participants through participation in more than one fund. The quality of investments held in the fund portfolio reflects the expertise of the fund managers.</w:t>
      </w:r>
    </w:p>
    <w:p>
      <w:pPr>
        <w:spacing w:after="0" w:line="170"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Fair Value Measurements</w:t>
      </w:r>
    </w:p>
    <w:p>
      <w:pPr>
        <w:spacing w:after="0" w:line="221"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GAAP establishes a fair value hierarchy that prioritizes the inputs to valuation techniques used to measure fair value. The hierarchy gives the highest priority to quoted prices in active markets for identical assets and liabilities (Level 1 measurements) and the lowest priority to unobservable inputs (Level 3 measurements). The three levels of the fair value hierarchy are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Basis of Fair Value Measurement</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Level 1 – Quoted prices (unadjusted) in active markets for identical assets and liabilities;</w:t>
      </w:r>
    </w:p>
    <w:p>
      <w:pPr>
        <w:spacing w:after="0" w:line="21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Level 2 – Inputs other than quoted prices included within Level 1 that are observable for the asset or liability, either directly or indirectly, such as:</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Quoted prices for similar assets or liabilities in active markets</w:t>
      </w:r>
    </w:p>
    <w:p>
      <w:pPr>
        <w:ind w:left="660" w:hanging="328"/>
        <w:spacing w:after="0" w:line="207" w:lineRule="auto"/>
        <w:tabs>
          <w:tab w:leader="none" w:pos="6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Quoted prices for identical assets or liabilities in inactive markets</w:t>
      </w:r>
    </w:p>
    <w:p>
      <w:pPr>
        <w:ind w:left="660" w:hanging="328"/>
        <w:spacing w:after="0" w:line="207" w:lineRule="auto"/>
        <w:tabs>
          <w:tab w:leader="none" w:pos="6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Inputs other than quoted prices that are observable for the asset or liability</w:t>
      </w:r>
    </w:p>
    <w:p>
      <w:pPr>
        <w:ind w:left="660" w:hanging="328"/>
        <w:spacing w:after="0"/>
        <w:tabs>
          <w:tab w:leader="none" w:pos="6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Inputs that are derived principally from or corroborated by observable market data by correlation or other means.</w:t>
      </w:r>
    </w:p>
    <w:p>
      <w:pPr>
        <w:spacing w:after="0" w:line="196"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If the asset or liability has a specified (contractual) term, the Level 2 input must be observable for substantially the full term of the asset or liability.</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Level 3 – Prices or valuations that require inputs that are both significant to the fair value measurement and unobservable.</w:t>
      </w:r>
    </w:p>
    <w:p>
      <w:pPr>
        <w:spacing w:after="0" w:line="214"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A financial instrument’s level within the fair value hierarchy is based on the lowest level of any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9"/>
          <w:szCs w:val="29"/>
          <w:b w:val="1"/>
          <w:bCs w:val="1"/>
          <w:color w:val="auto"/>
        </w:rPr>
        <w:t>STMicroelectronics, Inc. 401(k) Savings Plan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6350</wp:posOffset>
            </wp:positionV>
            <wp:extent cx="61804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following is a description of the valuation methodologies used for the investments measured at fair value, including the general classification of such instruments pursuant to the valuation hierarchy.</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Mutual Funds</w:t>
      </w:r>
    </w:p>
    <w:p>
      <w:pPr>
        <w:spacing w:after="0" w:line="212"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The fair market value of the fund is based on its calculated net asset value (NAV) at the close of business of the appropriate exchange, considering the value of the fund assets at that time. The values of the assets are generally based on quoted prices in active markets. The fair market value of the funds is based on the fund’s NAV, which is the price to sell one share of the fund. The NAV is readily available on the appropriate exchange. Mutual funds are classified as Level 1.</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Money Market Fund</w:t>
      </w:r>
    </w:p>
    <w:p>
      <w:pPr>
        <w:spacing w:after="0" w:line="212" w:lineRule="exact"/>
        <w:rPr>
          <w:sz w:val="20"/>
          <w:szCs w:val="20"/>
          <w:color w:val="auto"/>
        </w:rPr>
      </w:pPr>
    </w:p>
    <w:p>
      <w:pPr>
        <w:jc w:val="both"/>
        <w:spacing w:after="0" w:line="218" w:lineRule="auto"/>
        <w:rPr>
          <w:sz w:val="20"/>
          <w:szCs w:val="20"/>
          <w:color w:val="auto"/>
        </w:rPr>
      </w:pPr>
      <w:r>
        <w:rPr>
          <w:rFonts w:ascii="Arial" w:cs="Arial" w:eastAsia="Arial" w:hAnsi="Arial"/>
          <w:sz w:val="19"/>
          <w:szCs w:val="19"/>
          <w:color w:val="auto"/>
        </w:rPr>
        <w:t>The Plan holds an investment in the Fidelity Investments Money Market Government Portfolio. The NAV of the fund is valued at amortized cost, which approximates fair value. The amortized cost of an instrument is determined by valuing it at its original cost and thereafter amortizing any discount or premium from its face value at a constant rate until maturity. Securities held by a money market fund are generally high quality and liquid; however, they are reflected as Level 2 because the inputs used to determine fair value are not quoted prices in an active market. The fund normally invests assets in U.S. government securities and repurchase agreements for those securities.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STMicroelectronics N.V. Stock Fund</w:t>
      </w:r>
    </w:p>
    <w:p>
      <w:pPr>
        <w:spacing w:after="0" w:line="266"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The STMicroelectronics N.V. Stock Fund is comprised primarily of the stock of the parent company of ST, Inc., as well as short-term investments (interest-bearing cash) designed to allow for purchases and sales without the usual trade settlement period for individual stock transactions. The fair value of the fund is based on the per share price as quoted in an active market and weighted with the amount of cash held to settle daily transactions. The total fair value of the fund is classified as Level 1.</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Self-directed Brokerage Account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19"/>
          <w:szCs w:val="19"/>
          <w:color w:val="auto"/>
        </w:rPr>
        <w:t>The BrokerageLink account is a self-directed brokerage account that allows participants to invest in a wide variety of securities. Investments in the BrokerageLink account include common stock, cash reserves, mutual funds, exchange-traded funds, options and preferred stock. These are publicly traded securities with quoted prices in active markets and are classified as Level 1. Other investments include certificates of deposit and corporate bonds which are valued using third-party pricing sources. These assets are classified as Level 2.</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Common Collective Trust</w:t>
      </w:r>
    </w:p>
    <w:p>
      <w:pPr>
        <w:spacing w:after="0" w:line="212" w:lineRule="exact"/>
        <w:rPr>
          <w:sz w:val="20"/>
          <w:szCs w:val="20"/>
          <w:color w:val="auto"/>
        </w:rPr>
      </w:pPr>
    </w:p>
    <w:p>
      <w:pPr>
        <w:jc w:val="both"/>
        <w:spacing w:after="0" w:line="218" w:lineRule="auto"/>
        <w:rPr>
          <w:sz w:val="20"/>
          <w:szCs w:val="20"/>
          <w:color w:val="auto"/>
        </w:rPr>
      </w:pPr>
      <w:r>
        <w:rPr>
          <w:rFonts w:ascii="Arial" w:cs="Arial" w:eastAsia="Arial" w:hAnsi="Arial"/>
          <w:sz w:val="19"/>
          <w:szCs w:val="19"/>
          <w:color w:val="auto"/>
        </w:rPr>
        <w:t>The Plan holds an investment in the Columbia Trust Dividend Income Fund Institutional 300 which is a common collective trust (“CCT”). The CCT is valued at the NAV as provided by the administrator of the fund. The NAV is used as the practical expedient to estimate fair value. The NAV is based on the value of the underlying assets of the fund, less liabilities, and then divided by the number of units outstanding. Participants are allowed to redeem units of the CCT held by the Plan on a daily basis and there are no unfunded commitments. The fund seeks to maximize total return, consisting of current income and capital appreciation by primarily investing in U.S and Non-U.S. equity securities and cash.</w:t>
      </w:r>
    </w:p>
    <w:p>
      <w:pPr>
        <w:spacing w:after="0" w:line="186"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and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9"/>
          <w:szCs w:val="29"/>
          <w:b w:val="1"/>
          <w:bCs w:val="1"/>
          <w:color w:val="auto"/>
        </w:rPr>
        <w:t>STMicroelectronics, Inc. 401(k) Savings Plan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6350</wp:posOffset>
            </wp:positionV>
            <wp:extent cx="61804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tables set forth by level within the fair value hierarchy, the Plan investments measured at fair value on a recurring basis:</w:t>
      </w:r>
    </w:p>
    <w:p>
      <w:pPr>
        <w:spacing w:after="0" w:line="268" w:lineRule="exact"/>
        <w:rPr>
          <w:sz w:val="20"/>
          <w:szCs w:val="20"/>
          <w:color w:val="auto"/>
        </w:rPr>
      </w:pPr>
    </w:p>
    <w:p>
      <w:pPr>
        <w:ind w:left="6600"/>
        <w:spacing w:after="0"/>
        <w:rPr>
          <w:sz w:val="20"/>
          <w:szCs w:val="20"/>
          <w:color w:val="auto"/>
        </w:rPr>
      </w:pPr>
      <w:r>
        <w:rPr>
          <w:rFonts w:ascii="Arial" w:cs="Arial" w:eastAsia="Arial" w:hAnsi="Arial"/>
          <w:sz w:val="19"/>
          <w:szCs w:val="19"/>
          <w:b w:val="1"/>
          <w:bCs w:val="1"/>
          <w:color w:val="auto"/>
        </w:rPr>
        <w:t>Investments at Fair Value as of December 31, 2025</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47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9"/>
                <w:szCs w:val="19"/>
                <w:color w:val="auto"/>
              </w:rPr>
              <w:t>Level 1</w:t>
            </w: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9"/>
                <w:szCs w:val="19"/>
                <w:color w:val="auto"/>
              </w:rPr>
              <w:t>Level 2</w:t>
            </w:r>
          </w:p>
        </w:tc>
        <w:tc>
          <w:tcPr>
            <w:tcW w:w="3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center"/>
              <w:ind w:right="66"/>
              <w:spacing w:after="0"/>
              <w:rPr>
                <w:sz w:val="20"/>
                <w:szCs w:val="20"/>
                <w:color w:val="auto"/>
              </w:rPr>
            </w:pPr>
            <w:r>
              <w:rPr>
                <w:rFonts w:ascii="Arial" w:cs="Arial" w:eastAsia="Arial" w:hAnsi="Arial"/>
                <w:sz w:val="19"/>
                <w:szCs w:val="19"/>
                <w:color w:val="auto"/>
                <w:w w:val="97"/>
              </w:rPr>
              <w:t>Level 3</w:t>
            </w:r>
          </w:p>
        </w:tc>
        <w:tc>
          <w:tcPr>
            <w:tcW w:w="3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9"/>
                <w:szCs w:val="19"/>
                <w:color w:val="auto"/>
              </w:rPr>
              <w:t>Total</w:t>
            </w:r>
          </w:p>
        </w:tc>
        <w:tc>
          <w:tcPr>
            <w:tcW w:w="0" w:type="dxa"/>
            <w:vAlign w:val="bottom"/>
          </w:tcPr>
          <w:p>
            <w:pPr>
              <w:spacing w:after="0"/>
              <w:rPr>
                <w:sz w:val="1"/>
                <w:szCs w:val="1"/>
                <w:color w:val="auto"/>
              </w:rPr>
            </w:pPr>
          </w:p>
        </w:tc>
      </w:tr>
      <w:tr>
        <w:trPr>
          <w:trHeight w:val="486"/>
        </w:trPr>
        <w:tc>
          <w:tcPr>
            <w:tcW w:w="4720" w:type="dxa"/>
            <w:vAlign w:val="bottom"/>
          </w:tcPr>
          <w:p>
            <w:pPr>
              <w:spacing w:after="0"/>
              <w:rPr>
                <w:sz w:val="20"/>
                <w:szCs w:val="20"/>
                <w:color w:val="auto"/>
              </w:rPr>
            </w:pPr>
            <w:r>
              <w:rPr>
                <w:rFonts w:ascii="Arial" w:cs="Arial" w:eastAsia="Arial" w:hAnsi="Arial"/>
                <w:sz w:val="19"/>
                <w:szCs w:val="19"/>
                <w:color w:val="auto"/>
              </w:rPr>
              <w:t>Mutual funds</w:t>
            </w:r>
          </w:p>
        </w:tc>
        <w:tc>
          <w:tcPr>
            <w:tcW w:w="460" w:type="dxa"/>
            <w:vAlign w:val="bottom"/>
          </w:tcPr>
          <w:p>
            <w:pPr>
              <w:jc w:val="right"/>
              <w:ind w:right="86"/>
              <w:spacing w:after="0"/>
              <w:rPr>
                <w:sz w:val="20"/>
                <w:szCs w:val="20"/>
                <w:color w:val="auto"/>
              </w:rPr>
            </w:pPr>
            <w:r>
              <w:rPr>
                <w:rFonts w:ascii="Arial" w:cs="Arial" w:eastAsia="Arial" w:hAnsi="Arial"/>
                <w:sz w:val="19"/>
                <w:szCs w:val="19"/>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533,614,450</w:t>
            </w:r>
          </w:p>
        </w:tc>
        <w:tc>
          <w:tcPr>
            <w:tcW w:w="360" w:type="dxa"/>
            <w:vAlign w:val="bottom"/>
          </w:tcPr>
          <w:p>
            <w:pPr>
              <w:jc w:val="right"/>
              <w:ind w:right="66"/>
              <w:spacing w:after="0"/>
              <w:rPr>
                <w:sz w:val="20"/>
                <w:szCs w:val="20"/>
                <w:color w:val="auto"/>
              </w:rPr>
            </w:pPr>
            <w:r>
              <w:rPr>
                <w:rFonts w:ascii="Arial" w:cs="Arial" w:eastAsia="Arial" w:hAnsi="Arial"/>
                <w:sz w:val="19"/>
                <w:szCs w:val="19"/>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340" w:type="dxa"/>
            <w:vAlign w:val="bottom"/>
          </w:tcPr>
          <w:p>
            <w:pPr>
              <w:jc w:val="right"/>
              <w:ind w:right="46"/>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ind w:left="700"/>
              <w:spacing w:after="0"/>
              <w:rPr>
                <w:sz w:val="20"/>
                <w:szCs w:val="20"/>
                <w:color w:val="auto"/>
              </w:rPr>
            </w:pPr>
            <w:r>
              <w:rPr>
                <w:rFonts w:ascii="Arial" w:cs="Arial" w:eastAsia="Arial" w:hAnsi="Arial"/>
                <w:sz w:val="19"/>
                <w:szCs w:val="19"/>
                <w:color w:val="auto"/>
              </w:rPr>
              <w:t>—</w:t>
            </w:r>
          </w:p>
        </w:tc>
        <w:tc>
          <w:tcPr>
            <w:tcW w:w="380" w:type="dxa"/>
            <w:vAlign w:val="bottom"/>
          </w:tcPr>
          <w:p>
            <w:pPr>
              <w:jc w:val="right"/>
              <w:ind w:right="106"/>
              <w:spacing w:after="0"/>
              <w:rPr>
                <w:sz w:val="20"/>
                <w:szCs w:val="20"/>
                <w:color w:val="auto"/>
              </w:rPr>
            </w:pPr>
            <w:r>
              <w:rPr>
                <w:rFonts w:ascii="Arial" w:cs="Arial" w:eastAsia="Arial" w:hAnsi="Arial"/>
                <w:sz w:val="19"/>
                <w:szCs w:val="19"/>
                <w:b w:val="1"/>
                <w:bCs w:val="1"/>
                <w:color w:val="auto"/>
              </w:rPr>
              <w:t>$</w:t>
            </w:r>
          </w:p>
        </w:tc>
        <w:tc>
          <w:tcPr>
            <w:tcW w:w="1420" w:type="dxa"/>
            <w:vAlign w:val="bottom"/>
          </w:tcPr>
          <w:p>
            <w:pPr>
              <w:jc w:val="right"/>
              <w:ind w:right="86"/>
              <w:spacing w:after="0"/>
              <w:rPr>
                <w:sz w:val="20"/>
                <w:szCs w:val="20"/>
                <w:color w:val="auto"/>
              </w:rPr>
            </w:pPr>
            <w:r>
              <w:rPr>
                <w:rFonts w:ascii="Arial" w:cs="Arial" w:eastAsia="Arial" w:hAnsi="Arial"/>
                <w:sz w:val="19"/>
                <w:szCs w:val="19"/>
                <w:b w:val="1"/>
                <w:bCs w:val="1"/>
                <w:color w:val="auto"/>
              </w:rPr>
              <w:t>533,614,450</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9"/>
                <w:szCs w:val="19"/>
                <w:color w:val="auto"/>
              </w:rPr>
              <w:t>Money market fund</w:t>
            </w:r>
          </w:p>
        </w:tc>
        <w:tc>
          <w:tcPr>
            <w:tcW w:w="4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b w:val="1"/>
                <w:bCs w:val="1"/>
                <w:color w:val="auto"/>
              </w:rPr>
              <w:t>33,201,277</w:t>
            </w:r>
          </w:p>
        </w:tc>
        <w:tc>
          <w:tcPr>
            <w:tcW w:w="340" w:type="dxa"/>
            <w:vAlign w:val="bottom"/>
          </w:tcPr>
          <w:p>
            <w:pPr>
              <w:spacing w:after="0"/>
              <w:rPr>
                <w:sz w:val="21"/>
                <w:szCs w:val="21"/>
                <w:color w:val="auto"/>
              </w:rPr>
            </w:pPr>
          </w:p>
        </w:tc>
        <w:tc>
          <w:tcPr>
            <w:tcW w:w="1000" w:type="dxa"/>
            <w:vAlign w:val="bottom"/>
          </w:tcPr>
          <w:p>
            <w:pPr>
              <w:ind w:left="700"/>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1"/>
                <w:szCs w:val="21"/>
                <w:color w:val="auto"/>
              </w:rPr>
            </w:pPr>
          </w:p>
        </w:tc>
        <w:tc>
          <w:tcPr>
            <w:tcW w:w="1420" w:type="dxa"/>
            <w:vAlign w:val="bottom"/>
          </w:tcPr>
          <w:p>
            <w:pPr>
              <w:jc w:val="right"/>
              <w:ind w:right="86"/>
              <w:spacing w:after="0"/>
              <w:rPr>
                <w:sz w:val="20"/>
                <w:szCs w:val="20"/>
                <w:color w:val="auto"/>
              </w:rPr>
            </w:pPr>
            <w:r>
              <w:rPr>
                <w:rFonts w:ascii="Arial" w:cs="Arial" w:eastAsia="Arial" w:hAnsi="Arial"/>
                <w:sz w:val="19"/>
                <w:szCs w:val="19"/>
                <w:b w:val="1"/>
                <w:bCs w:val="1"/>
                <w:color w:val="auto"/>
              </w:rPr>
              <w:t>33,201,277</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9"/>
                <w:szCs w:val="19"/>
                <w:color w:val="auto"/>
              </w:rPr>
              <w:t>STMicroelectronics N.V. stock fund</w:t>
            </w:r>
          </w:p>
        </w:tc>
        <w:tc>
          <w:tcPr>
            <w:tcW w:w="4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7,572,676</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340" w:type="dxa"/>
            <w:vAlign w:val="bottom"/>
          </w:tcPr>
          <w:p>
            <w:pPr>
              <w:spacing w:after="0"/>
              <w:rPr>
                <w:sz w:val="21"/>
                <w:szCs w:val="21"/>
                <w:color w:val="auto"/>
              </w:rPr>
            </w:pPr>
          </w:p>
        </w:tc>
        <w:tc>
          <w:tcPr>
            <w:tcW w:w="1000" w:type="dxa"/>
            <w:vAlign w:val="bottom"/>
          </w:tcPr>
          <w:p>
            <w:pPr>
              <w:ind w:left="700"/>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1"/>
                <w:szCs w:val="21"/>
                <w:color w:val="auto"/>
              </w:rPr>
            </w:pPr>
          </w:p>
        </w:tc>
        <w:tc>
          <w:tcPr>
            <w:tcW w:w="1420" w:type="dxa"/>
            <w:vAlign w:val="bottom"/>
          </w:tcPr>
          <w:p>
            <w:pPr>
              <w:jc w:val="right"/>
              <w:ind w:right="86"/>
              <w:spacing w:after="0"/>
              <w:rPr>
                <w:sz w:val="20"/>
                <w:szCs w:val="20"/>
                <w:color w:val="auto"/>
              </w:rPr>
            </w:pPr>
            <w:r>
              <w:rPr>
                <w:rFonts w:ascii="Arial" w:cs="Arial" w:eastAsia="Arial" w:hAnsi="Arial"/>
                <w:sz w:val="19"/>
                <w:szCs w:val="19"/>
                <w:b w:val="1"/>
                <w:bCs w:val="1"/>
                <w:color w:val="auto"/>
              </w:rPr>
              <w:t>7,572,676</w:t>
            </w:r>
          </w:p>
        </w:tc>
        <w:tc>
          <w:tcPr>
            <w:tcW w:w="0" w:type="dxa"/>
            <w:vAlign w:val="bottom"/>
          </w:tcPr>
          <w:p>
            <w:pPr>
              <w:spacing w:after="0"/>
              <w:rPr>
                <w:sz w:val="1"/>
                <w:szCs w:val="1"/>
                <w:color w:val="auto"/>
              </w:rPr>
            </w:pPr>
          </w:p>
        </w:tc>
      </w:tr>
      <w:tr>
        <w:trPr>
          <w:trHeight w:val="243"/>
        </w:trPr>
        <w:tc>
          <w:tcPr>
            <w:tcW w:w="47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Self-directed brokerage accounts</w:t>
            </w: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22,075,253</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348,519</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9"/>
                <w:szCs w:val="19"/>
                <w:color w:val="auto"/>
              </w:rPr>
              <w:t>—</w:t>
            </w: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b w:val="1"/>
                <w:bCs w:val="1"/>
                <w:color w:val="auto"/>
              </w:rPr>
              <w:t>22,423,772</w:t>
            </w:r>
          </w:p>
        </w:tc>
        <w:tc>
          <w:tcPr>
            <w:tcW w:w="0" w:type="dxa"/>
            <w:vAlign w:val="bottom"/>
          </w:tcPr>
          <w:p>
            <w:pPr>
              <w:spacing w:after="0"/>
              <w:rPr>
                <w:sz w:val="1"/>
                <w:szCs w:val="1"/>
                <w:color w:val="auto"/>
              </w:rPr>
            </w:pPr>
          </w:p>
        </w:tc>
      </w:tr>
      <w:tr>
        <w:trPr>
          <w:trHeight w:val="236"/>
        </w:trPr>
        <w:tc>
          <w:tcPr>
            <w:tcW w:w="4720" w:type="dxa"/>
            <w:vAlign w:val="bottom"/>
          </w:tcPr>
          <w:p>
            <w:pPr>
              <w:ind w:left="260"/>
              <w:spacing w:after="0"/>
              <w:rPr>
                <w:sz w:val="20"/>
                <w:szCs w:val="20"/>
                <w:color w:val="auto"/>
              </w:rPr>
            </w:pPr>
            <w:r>
              <w:rPr>
                <w:rFonts w:ascii="Arial" w:cs="Arial" w:eastAsia="Arial" w:hAnsi="Arial"/>
                <w:sz w:val="19"/>
                <w:szCs w:val="19"/>
                <w:color w:val="auto"/>
              </w:rPr>
              <w:t>Total investments measured at fair value</w:t>
            </w:r>
          </w:p>
        </w:tc>
        <w:tc>
          <w:tcPr>
            <w:tcW w:w="4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563,262,379</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9"/>
                <w:szCs w:val="19"/>
                <w:b w:val="1"/>
                <w:bCs w:val="1"/>
                <w:color w:val="auto"/>
              </w:rPr>
              <w:t>33,549,796</w:t>
            </w:r>
          </w:p>
        </w:tc>
        <w:tc>
          <w:tcPr>
            <w:tcW w:w="34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0"/>
                <w:szCs w:val="20"/>
                <w:color w:val="auto"/>
              </w:rPr>
            </w:pPr>
          </w:p>
        </w:tc>
        <w:tc>
          <w:tcPr>
            <w:tcW w:w="1420" w:type="dxa"/>
            <w:vAlign w:val="bottom"/>
          </w:tcPr>
          <w:p>
            <w:pPr>
              <w:jc w:val="right"/>
              <w:ind w:right="86"/>
              <w:spacing w:after="0"/>
              <w:rPr>
                <w:sz w:val="20"/>
                <w:szCs w:val="20"/>
                <w:color w:val="auto"/>
              </w:rPr>
            </w:pPr>
            <w:r>
              <w:rPr>
                <w:rFonts w:ascii="Arial" w:cs="Arial" w:eastAsia="Arial" w:hAnsi="Arial"/>
                <w:sz w:val="19"/>
                <w:szCs w:val="19"/>
                <w:b w:val="1"/>
                <w:bCs w:val="1"/>
                <w:color w:val="auto"/>
              </w:rPr>
              <w:t>596,812,175</w:t>
            </w:r>
          </w:p>
        </w:tc>
        <w:tc>
          <w:tcPr>
            <w:tcW w:w="0" w:type="dxa"/>
            <w:vAlign w:val="bottom"/>
          </w:tcPr>
          <w:p>
            <w:pPr>
              <w:spacing w:after="0"/>
              <w:rPr>
                <w:sz w:val="1"/>
                <w:szCs w:val="1"/>
                <w:color w:val="auto"/>
              </w:rPr>
            </w:pPr>
          </w:p>
        </w:tc>
      </w:tr>
      <w:tr>
        <w:trPr>
          <w:trHeight w:val="189"/>
        </w:trPr>
        <w:tc>
          <w:tcPr>
            <w:tcW w:w="4720" w:type="dxa"/>
            <w:vAlign w:val="bottom"/>
          </w:tcPr>
          <w:p>
            <w:pPr>
              <w:spacing w:after="0" w:line="189" w:lineRule="exact"/>
              <w:rPr>
                <w:sz w:val="20"/>
                <w:szCs w:val="20"/>
                <w:color w:val="auto"/>
              </w:rPr>
            </w:pPr>
            <w:r>
              <w:rPr>
                <w:rFonts w:ascii="Arial" w:cs="Arial" w:eastAsia="Arial" w:hAnsi="Arial"/>
                <w:sz w:val="19"/>
                <w:szCs w:val="19"/>
                <w:color w:val="auto"/>
              </w:rPr>
              <w:t>Common Collective Trust measured at net asset value</w:t>
            </w:r>
          </w:p>
        </w:tc>
        <w:tc>
          <w:tcPr>
            <w:tcW w:w="46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340" w:type="dxa"/>
            <w:vAlign w:val="bottom"/>
          </w:tcPr>
          <w:p>
            <w:pPr>
              <w:spacing w:after="0"/>
              <w:rPr>
                <w:sz w:val="16"/>
                <w:szCs w:val="16"/>
                <w:color w:val="auto"/>
              </w:rPr>
            </w:pPr>
          </w:p>
        </w:tc>
        <w:tc>
          <w:tcPr>
            <w:tcW w:w="1000" w:type="dxa"/>
            <w:vAlign w:val="bottom"/>
            <w:vMerge w:val="restart"/>
          </w:tcPr>
          <w:p>
            <w:pPr>
              <w:ind w:left="700"/>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16"/>
                <w:szCs w:val="16"/>
                <w:color w:val="auto"/>
              </w:rPr>
            </w:pPr>
          </w:p>
        </w:tc>
        <w:tc>
          <w:tcPr>
            <w:tcW w:w="1420" w:type="dxa"/>
            <w:vAlign w:val="bottom"/>
            <w:vMerge w:val="restart"/>
          </w:tcPr>
          <w:p>
            <w:pPr>
              <w:jc w:val="right"/>
              <w:ind w:right="86"/>
              <w:spacing w:after="0"/>
              <w:rPr>
                <w:sz w:val="20"/>
                <w:szCs w:val="20"/>
                <w:color w:val="auto"/>
              </w:rPr>
            </w:pPr>
            <w:r>
              <w:rPr>
                <w:rFonts w:ascii="Arial" w:cs="Arial" w:eastAsia="Arial" w:hAnsi="Arial"/>
                <w:sz w:val="19"/>
                <w:szCs w:val="19"/>
                <w:b w:val="1"/>
                <w:bCs w:val="1"/>
                <w:color w:val="auto"/>
              </w:rPr>
              <w:t>8,122,031</w:t>
            </w:r>
          </w:p>
        </w:tc>
        <w:tc>
          <w:tcPr>
            <w:tcW w:w="0" w:type="dxa"/>
            <w:vAlign w:val="bottom"/>
          </w:tcPr>
          <w:p>
            <w:pPr>
              <w:spacing w:after="0"/>
              <w:rPr>
                <w:sz w:val="1"/>
                <w:szCs w:val="1"/>
                <w:color w:val="auto"/>
              </w:rPr>
            </w:pPr>
          </w:p>
        </w:tc>
      </w:tr>
      <w:tr>
        <w:trPr>
          <w:trHeight w:val="243"/>
        </w:trPr>
        <w:tc>
          <w:tcPr>
            <w:tcW w:w="47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(a)</w:t>
            </w: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4720" w:type="dxa"/>
            <w:vAlign w:val="bottom"/>
            <w:tcBorders>
              <w:bottom w:val="single" w:sz="8" w:color="auto"/>
            </w:tcBorders>
          </w:tcPr>
          <w:p>
            <w:pPr>
              <w:ind w:left="260"/>
              <w:spacing w:after="0"/>
              <w:rPr>
                <w:sz w:val="20"/>
                <w:szCs w:val="20"/>
                <w:color w:val="auto"/>
              </w:rPr>
            </w:pPr>
            <w:r>
              <w:rPr>
                <w:rFonts w:ascii="Arial" w:cs="Arial" w:eastAsia="Arial" w:hAnsi="Arial"/>
                <w:sz w:val="19"/>
                <w:szCs w:val="19"/>
                <w:b w:val="1"/>
                <w:bCs w:val="1"/>
                <w:color w:val="auto"/>
              </w:rPr>
              <w:t>Total investments</w:t>
            </w:r>
          </w:p>
        </w:tc>
        <w:tc>
          <w:tcPr>
            <w:tcW w:w="46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563,262,379</w:t>
            </w:r>
          </w:p>
        </w:tc>
        <w:tc>
          <w:tcPr>
            <w:tcW w:w="36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33,549,796</w:t>
            </w: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b w:val="1"/>
                <w:bCs w:val="1"/>
                <w:color w:val="auto"/>
              </w:rPr>
              <w:t>$</w:t>
            </w: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9"/>
                <w:szCs w:val="19"/>
                <w:b w:val="1"/>
                <w:bCs w:val="1"/>
                <w:color w:val="auto"/>
              </w:rPr>
              <w:t>—</w:t>
            </w:r>
          </w:p>
        </w:tc>
        <w:tc>
          <w:tcPr>
            <w:tcW w:w="38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b w:val="1"/>
                <w:bCs w:val="1"/>
                <w:color w:val="auto"/>
              </w:rPr>
              <w:t>$</w:t>
            </w:r>
          </w:p>
        </w:tc>
        <w:tc>
          <w:tcPr>
            <w:tcW w:w="142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b w:val="1"/>
                <w:bCs w:val="1"/>
                <w:color w:val="auto"/>
              </w:rPr>
              <w:t>604,934,206</w:t>
            </w:r>
          </w:p>
        </w:tc>
        <w:tc>
          <w:tcPr>
            <w:tcW w:w="0" w:type="dxa"/>
            <w:vAlign w:val="bottom"/>
          </w:tcPr>
          <w:p>
            <w:pPr>
              <w:spacing w:after="0"/>
              <w:rPr>
                <w:sz w:val="1"/>
                <w:szCs w:val="1"/>
                <w:color w:val="auto"/>
              </w:rPr>
            </w:pPr>
          </w:p>
        </w:tc>
      </w:tr>
      <w:tr>
        <w:trPr>
          <w:trHeight w:val="608"/>
        </w:trPr>
        <w:tc>
          <w:tcPr>
            <w:tcW w:w="4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6"/>
          </w:tcPr>
          <w:p>
            <w:pPr>
              <w:jc w:val="center"/>
              <w:spacing w:after="0"/>
              <w:rPr>
                <w:sz w:val="20"/>
                <w:szCs w:val="20"/>
                <w:color w:val="auto"/>
              </w:rPr>
            </w:pPr>
            <w:r>
              <w:rPr>
                <w:rFonts w:ascii="Arial" w:cs="Arial" w:eastAsia="Arial" w:hAnsi="Arial"/>
                <w:sz w:val="19"/>
                <w:szCs w:val="19"/>
                <w:b w:val="1"/>
                <w:bCs w:val="1"/>
                <w:color w:val="auto"/>
                <w:w w:val="98"/>
              </w:rPr>
              <w:t>Investments at Fair Value as of December 31, 2024</w:t>
            </w:r>
          </w:p>
        </w:tc>
        <w:tc>
          <w:tcPr>
            <w:tcW w:w="0" w:type="dxa"/>
            <w:vAlign w:val="bottom"/>
          </w:tcPr>
          <w:p>
            <w:pPr>
              <w:spacing w:after="0"/>
              <w:rPr>
                <w:sz w:val="1"/>
                <w:szCs w:val="1"/>
                <w:color w:val="auto"/>
              </w:rPr>
            </w:pPr>
          </w:p>
        </w:tc>
      </w:tr>
      <w:tr>
        <w:trPr>
          <w:trHeight w:val="243"/>
        </w:trPr>
        <w:tc>
          <w:tcPr>
            <w:tcW w:w="47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46"/>
              <w:spacing w:after="0"/>
              <w:rPr>
                <w:sz w:val="20"/>
                <w:szCs w:val="20"/>
                <w:color w:val="auto"/>
              </w:rPr>
            </w:pPr>
            <w:r>
              <w:rPr>
                <w:rFonts w:ascii="Arial" w:cs="Arial" w:eastAsia="Arial" w:hAnsi="Arial"/>
                <w:sz w:val="19"/>
                <w:szCs w:val="19"/>
                <w:color w:val="auto"/>
              </w:rPr>
              <w:t>Level 1</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46"/>
              <w:spacing w:after="0"/>
              <w:rPr>
                <w:sz w:val="20"/>
                <w:szCs w:val="20"/>
                <w:color w:val="auto"/>
              </w:rPr>
            </w:pPr>
            <w:r>
              <w:rPr>
                <w:rFonts w:ascii="Arial" w:cs="Arial" w:eastAsia="Arial" w:hAnsi="Arial"/>
                <w:sz w:val="19"/>
                <w:szCs w:val="19"/>
                <w:color w:val="auto"/>
              </w:rPr>
              <w:t>Level 2</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6"/>
              <w:spacing w:after="0"/>
              <w:rPr>
                <w:sz w:val="20"/>
                <w:szCs w:val="20"/>
                <w:color w:val="auto"/>
              </w:rPr>
            </w:pPr>
            <w:r>
              <w:rPr>
                <w:rFonts w:ascii="Arial" w:cs="Arial" w:eastAsia="Arial" w:hAnsi="Arial"/>
                <w:sz w:val="19"/>
                <w:szCs w:val="19"/>
                <w:color w:val="auto"/>
                <w:w w:val="97"/>
              </w:rPr>
              <w:t>Level 3</w:t>
            </w: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46"/>
              <w:spacing w:after="0"/>
              <w:rPr>
                <w:sz w:val="20"/>
                <w:szCs w:val="20"/>
                <w:color w:val="auto"/>
              </w:rPr>
            </w:pPr>
            <w:r>
              <w:rPr>
                <w:rFonts w:ascii="Arial" w:cs="Arial" w:eastAsia="Arial" w:hAnsi="Arial"/>
                <w:sz w:val="19"/>
                <w:szCs w:val="19"/>
                <w:color w:val="auto"/>
              </w:rPr>
              <w:t>Total</w:t>
            </w:r>
          </w:p>
        </w:tc>
        <w:tc>
          <w:tcPr>
            <w:tcW w:w="0" w:type="dxa"/>
            <w:vAlign w:val="bottom"/>
          </w:tcPr>
          <w:p>
            <w:pPr>
              <w:spacing w:after="0"/>
              <w:rPr>
                <w:sz w:val="1"/>
                <w:szCs w:val="1"/>
                <w:color w:val="auto"/>
              </w:rPr>
            </w:pPr>
          </w:p>
        </w:tc>
      </w:tr>
      <w:tr>
        <w:trPr>
          <w:trHeight w:val="486"/>
        </w:trPr>
        <w:tc>
          <w:tcPr>
            <w:tcW w:w="4720" w:type="dxa"/>
            <w:vAlign w:val="bottom"/>
          </w:tcPr>
          <w:p>
            <w:pPr>
              <w:spacing w:after="0"/>
              <w:rPr>
                <w:sz w:val="20"/>
                <w:szCs w:val="20"/>
                <w:color w:val="auto"/>
              </w:rPr>
            </w:pPr>
            <w:r>
              <w:rPr>
                <w:rFonts w:ascii="Arial" w:cs="Arial" w:eastAsia="Arial" w:hAnsi="Arial"/>
                <w:sz w:val="19"/>
                <w:szCs w:val="19"/>
                <w:color w:val="auto"/>
              </w:rPr>
              <w:t>Mutual funds</w:t>
            </w:r>
          </w:p>
        </w:tc>
        <w:tc>
          <w:tcPr>
            <w:tcW w:w="460" w:type="dxa"/>
            <w:vAlign w:val="bottom"/>
          </w:tcPr>
          <w:p>
            <w:pPr>
              <w:jc w:val="right"/>
              <w:ind w:right="86"/>
              <w:spacing w:after="0"/>
              <w:rPr>
                <w:sz w:val="20"/>
                <w:szCs w:val="20"/>
                <w:color w:val="auto"/>
              </w:rPr>
            </w:pPr>
            <w:r>
              <w:rPr>
                <w:rFonts w:ascii="Arial" w:cs="Arial" w:eastAsia="Arial" w:hAnsi="Arial"/>
                <w:sz w:val="19"/>
                <w:szCs w:val="19"/>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500,842,496</w:t>
            </w:r>
          </w:p>
        </w:tc>
        <w:tc>
          <w:tcPr>
            <w:tcW w:w="360" w:type="dxa"/>
            <w:vAlign w:val="bottom"/>
          </w:tcPr>
          <w:p>
            <w:pPr>
              <w:jc w:val="right"/>
              <w:ind w:right="46"/>
              <w:spacing w:after="0"/>
              <w:rPr>
                <w:sz w:val="20"/>
                <w:szCs w:val="20"/>
                <w:color w:val="auto"/>
              </w:rPr>
            </w:pPr>
            <w:r>
              <w:rPr>
                <w:rFonts w:ascii="Arial" w:cs="Arial" w:eastAsia="Arial" w:hAnsi="Arial"/>
                <w:sz w:val="19"/>
                <w:szCs w:val="19"/>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340" w:type="dxa"/>
            <w:vAlign w:val="bottom"/>
          </w:tcPr>
          <w:p>
            <w:pPr>
              <w:jc w:val="right"/>
              <w:ind w:right="46"/>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ind w:left="720"/>
              <w:spacing w:after="0"/>
              <w:rPr>
                <w:sz w:val="20"/>
                <w:szCs w:val="20"/>
                <w:color w:val="auto"/>
              </w:rPr>
            </w:pPr>
            <w:r>
              <w:rPr>
                <w:rFonts w:ascii="Arial" w:cs="Arial" w:eastAsia="Arial" w:hAnsi="Arial"/>
                <w:sz w:val="19"/>
                <w:szCs w:val="19"/>
                <w:color w:val="auto"/>
              </w:rPr>
              <w:t>—</w:t>
            </w:r>
          </w:p>
        </w:tc>
        <w:tc>
          <w:tcPr>
            <w:tcW w:w="380" w:type="dxa"/>
            <w:vAlign w:val="bottom"/>
          </w:tcPr>
          <w:p>
            <w:pPr>
              <w:jc w:val="right"/>
              <w:ind w:right="106"/>
              <w:spacing w:after="0"/>
              <w:rPr>
                <w:sz w:val="20"/>
                <w:szCs w:val="20"/>
                <w:color w:val="auto"/>
              </w:rPr>
            </w:pPr>
            <w:r>
              <w:rPr>
                <w:rFonts w:ascii="Arial" w:cs="Arial" w:eastAsia="Arial" w:hAnsi="Arial"/>
                <w:sz w:val="19"/>
                <w:szCs w:val="19"/>
                <w:b w:val="1"/>
                <w:bCs w:val="1"/>
                <w:color w:val="auto"/>
              </w:rPr>
              <w:t>$</w:t>
            </w:r>
          </w:p>
        </w:tc>
        <w:tc>
          <w:tcPr>
            <w:tcW w:w="1420" w:type="dxa"/>
            <w:vAlign w:val="bottom"/>
          </w:tcPr>
          <w:p>
            <w:pPr>
              <w:jc w:val="right"/>
              <w:ind w:right="86"/>
              <w:spacing w:after="0"/>
              <w:rPr>
                <w:sz w:val="20"/>
                <w:szCs w:val="20"/>
                <w:color w:val="auto"/>
              </w:rPr>
            </w:pPr>
            <w:r>
              <w:rPr>
                <w:rFonts w:ascii="Arial" w:cs="Arial" w:eastAsia="Arial" w:hAnsi="Arial"/>
                <w:sz w:val="19"/>
                <w:szCs w:val="19"/>
                <w:b w:val="1"/>
                <w:bCs w:val="1"/>
                <w:color w:val="auto"/>
              </w:rPr>
              <w:t>500,842,496</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9"/>
                <w:szCs w:val="19"/>
                <w:color w:val="auto"/>
              </w:rPr>
              <w:t>Money market fund</w:t>
            </w:r>
          </w:p>
        </w:tc>
        <w:tc>
          <w:tcPr>
            <w:tcW w:w="4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b w:val="1"/>
                <w:bCs w:val="1"/>
                <w:color w:val="auto"/>
              </w:rPr>
              <w:t>36,975,032</w:t>
            </w:r>
          </w:p>
        </w:tc>
        <w:tc>
          <w:tcPr>
            <w:tcW w:w="340" w:type="dxa"/>
            <w:vAlign w:val="bottom"/>
          </w:tcPr>
          <w:p>
            <w:pPr>
              <w:spacing w:after="0"/>
              <w:rPr>
                <w:sz w:val="21"/>
                <w:szCs w:val="21"/>
                <w:color w:val="auto"/>
              </w:rPr>
            </w:pPr>
          </w:p>
        </w:tc>
        <w:tc>
          <w:tcPr>
            <w:tcW w:w="1000" w:type="dxa"/>
            <w:vAlign w:val="bottom"/>
          </w:tcPr>
          <w:p>
            <w:pPr>
              <w:ind w:left="720"/>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1"/>
                <w:szCs w:val="21"/>
                <w:color w:val="auto"/>
              </w:rPr>
            </w:pPr>
          </w:p>
        </w:tc>
        <w:tc>
          <w:tcPr>
            <w:tcW w:w="1420" w:type="dxa"/>
            <w:vAlign w:val="bottom"/>
          </w:tcPr>
          <w:p>
            <w:pPr>
              <w:jc w:val="right"/>
              <w:ind w:right="86"/>
              <w:spacing w:after="0"/>
              <w:rPr>
                <w:sz w:val="20"/>
                <w:szCs w:val="20"/>
                <w:color w:val="auto"/>
              </w:rPr>
            </w:pPr>
            <w:r>
              <w:rPr>
                <w:rFonts w:ascii="Arial" w:cs="Arial" w:eastAsia="Arial" w:hAnsi="Arial"/>
                <w:sz w:val="19"/>
                <w:szCs w:val="19"/>
                <w:b w:val="1"/>
                <w:bCs w:val="1"/>
                <w:color w:val="auto"/>
              </w:rPr>
              <w:t>36,975,032</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9"/>
                <w:szCs w:val="19"/>
                <w:color w:val="auto"/>
              </w:rPr>
              <w:t>STMicroelectronics N.V. stock fund</w:t>
            </w:r>
          </w:p>
        </w:tc>
        <w:tc>
          <w:tcPr>
            <w:tcW w:w="4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7,998,463</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340" w:type="dxa"/>
            <w:vAlign w:val="bottom"/>
          </w:tcPr>
          <w:p>
            <w:pPr>
              <w:spacing w:after="0"/>
              <w:rPr>
                <w:sz w:val="21"/>
                <w:szCs w:val="21"/>
                <w:color w:val="auto"/>
              </w:rPr>
            </w:pPr>
          </w:p>
        </w:tc>
        <w:tc>
          <w:tcPr>
            <w:tcW w:w="1000" w:type="dxa"/>
            <w:vAlign w:val="bottom"/>
          </w:tcPr>
          <w:p>
            <w:pPr>
              <w:ind w:left="720"/>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1"/>
                <w:szCs w:val="21"/>
                <w:color w:val="auto"/>
              </w:rPr>
            </w:pPr>
          </w:p>
        </w:tc>
        <w:tc>
          <w:tcPr>
            <w:tcW w:w="1420" w:type="dxa"/>
            <w:vAlign w:val="bottom"/>
          </w:tcPr>
          <w:p>
            <w:pPr>
              <w:jc w:val="right"/>
              <w:ind w:right="86"/>
              <w:spacing w:after="0"/>
              <w:rPr>
                <w:sz w:val="20"/>
                <w:szCs w:val="20"/>
                <w:color w:val="auto"/>
              </w:rPr>
            </w:pPr>
            <w:r>
              <w:rPr>
                <w:rFonts w:ascii="Arial" w:cs="Arial" w:eastAsia="Arial" w:hAnsi="Arial"/>
                <w:sz w:val="19"/>
                <w:szCs w:val="19"/>
                <w:b w:val="1"/>
                <w:bCs w:val="1"/>
                <w:color w:val="auto"/>
              </w:rPr>
              <w:t>7,998,463</w:t>
            </w:r>
          </w:p>
        </w:tc>
        <w:tc>
          <w:tcPr>
            <w:tcW w:w="0" w:type="dxa"/>
            <w:vAlign w:val="bottom"/>
          </w:tcPr>
          <w:p>
            <w:pPr>
              <w:spacing w:after="0"/>
              <w:rPr>
                <w:sz w:val="1"/>
                <w:szCs w:val="1"/>
                <w:color w:val="auto"/>
              </w:rPr>
            </w:pPr>
          </w:p>
        </w:tc>
      </w:tr>
      <w:tr>
        <w:trPr>
          <w:trHeight w:val="243"/>
        </w:trPr>
        <w:tc>
          <w:tcPr>
            <w:tcW w:w="47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Self-directed brokerage accounts</w:t>
            </w: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18,943,213</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9"/>
                <w:szCs w:val="19"/>
                <w:color w:val="auto"/>
              </w:rPr>
              <w:t>—</w:t>
            </w: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b w:val="1"/>
                <w:bCs w:val="1"/>
                <w:color w:val="auto"/>
              </w:rPr>
              <w:t>18,943,213</w:t>
            </w:r>
          </w:p>
        </w:tc>
        <w:tc>
          <w:tcPr>
            <w:tcW w:w="0" w:type="dxa"/>
            <w:vAlign w:val="bottom"/>
          </w:tcPr>
          <w:p>
            <w:pPr>
              <w:spacing w:after="0"/>
              <w:rPr>
                <w:sz w:val="1"/>
                <w:szCs w:val="1"/>
                <w:color w:val="auto"/>
              </w:rPr>
            </w:pPr>
          </w:p>
        </w:tc>
      </w:tr>
      <w:tr>
        <w:trPr>
          <w:trHeight w:val="236"/>
        </w:trPr>
        <w:tc>
          <w:tcPr>
            <w:tcW w:w="4720" w:type="dxa"/>
            <w:vAlign w:val="bottom"/>
          </w:tcPr>
          <w:p>
            <w:pPr>
              <w:ind w:left="260"/>
              <w:spacing w:after="0"/>
              <w:rPr>
                <w:sz w:val="20"/>
                <w:szCs w:val="20"/>
                <w:color w:val="auto"/>
              </w:rPr>
            </w:pPr>
            <w:r>
              <w:rPr>
                <w:rFonts w:ascii="Arial" w:cs="Arial" w:eastAsia="Arial" w:hAnsi="Arial"/>
                <w:sz w:val="19"/>
                <w:szCs w:val="19"/>
                <w:color w:val="auto"/>
              </w:rPr>
              <w:t>Total investments measured at fair value</w:t>
            </w:r>
          </w:p>
        </w:tc>
        <w:tc>
          <w:tcPr>
            <w:tcW w:w="4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527,784,172</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9"/>
                <w:szCs w:val="19"/>
                <w:b w:val="1"/>
                <w:bCs w:val="1"/>
                <w:color w:val="auto"/>
              </w:rPr>
              <w:t>36,975,032</w:t>
            </w:r>
          </w:p>
        </w:tc>
        <w:tc>
          <w:tcPr>
            <w:tcW w:w="340" w:type="dxa"/>
            <w:vAlign w:val="bottom"/>
          </w:tcPr>
          <w:p>
            <w:pPr>
              <w:spacing w:after="0"/>
              <w:rPr>
                <w:sz w:val="20"/>
                <w:szCs w:val="20"/>
                <w:color w:val="auto"/>
              </w:rPr>
            </w:pPr>
          </w:p>
        </w:tc>
        <w:tc>
          <w:tcPr>
            <w:tcW w:w="1000" w:type="dxa"/>
            <w:vAlign w:val="bottom"/>
          </w:tcPr>
          <w:p>
            <w:pPr>
              <w:ind w:left="720"/>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0"/>
                <w:szCs w:val="20"/>
                <w:color w:val="auto"/>
              </w:rPr>
            </w:pPr>
          </w:p>
        </w:tc>
        <w:tc>
          <w:tcPr>
            <w:tcW w:w="1420" w:type="dxa"/>
            <w:vAlign w:val="bottom"/>
          </w:tcPr>
          <w:p>
            <w:pPr>
              <w:jc w:val="right"/>
              <w:ind w:right="86"/>
              <w:spacing w:after="0"/>
              <w:rPr>
                <w:sz w:val="20"/>
                <w:szCs w:val="20"/>
                <w:color w:val="auto"/>
              </w:rPr>
            </w:pPr>
            <w:r>
              <w:rPr>
                <w:rFonts w:ascii="Arial" w:cs="Arial" w:eastAsia="Arial" w:hAnsi="Arial"/>
                <w:sz w:val="19"/>
                <w:szCs w:val="19"/>
                <w:b w:val="1"/>
                <w:bCs w:val="1"/>
                <w:color w:val="auto"/>
              </w:rPr>
              <w:t>564,759,204</w:t>
            </w:r>
          </w:p>
        </w:tc>
        <w:tc>
          <w:tcPr>
            <w:tcW w:w="0" w:type="dxa"/>
            <w:vAlign w:val="bottom"/>
          </w:tcPr>
          <w:p>
            <w:pPr>
              <w:spacing w:after="0"/>
              <w:rPr>
                <w:sz w:val="1"/>
                <w:szCs w:val="1"/>
                <w:color w:val="auto"/>
              </w:rPr>
            </w:pPr>
          </w:p>
        </w:tc>
      </w:tr>
      <w:tr>
        <w:trPr>
          <w:trHeight w:val="189"/>
        </w:trPr>
        <w:tc>
          <w:tcPr>
            <w:tcW w:w="4720" w:type="dxa"/>
            <w:vAlign w:val="bottom"/>
          </w:tcPr>
          <w:p>
            <w:pPr>
              <w:spacing w:after="0" w:line="189" w:lineRule="exact"/>
              <w:rPr>
                <w:sz w:val="20"/>
                <w:szCs w:val="20"/>
                <w:color w:val="auto"/>
              </w:rPr>
            </w:pPr>
            <w:r>
              <w:rPr>
                <w:rFonts w:ascii="Arial" w:cs="Arial" w:eastAsia="Arial" w:hAnsi="Arial"/>
                <w:sz w:val="19"/>
                <w:szCs w:val="19"/>
                <w:color w:val="auto"/>
              </w:rPr>
              <w:t>Common Collective Trust measured at net asset value</w:t>
            </w:r>
          </w:p>
        </w:tc>
        <w:tc>
          <w:tcPr>
            <w:tcW w:w="46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340" w:type="dxa"/>
            <w:vAlign w:val="bottom"/>
          </w:tcPr>
          <w:p>
            <w:pPr>
              <w:spacing w:after="0"/>
              <w:rPr>
                <w:sz w:val="16"/>
                <w:szCs w:val="16"/>
                <w:color w:val="auto"/>
              </w:rPr>
            </w:pPr>
          </w:p>
        </w:tc>
        <w:tc>
          <w:tcPr>
            <w:tcW w:w="1000" w:type="dxa"/>
            <w:vAlign w:val="bottom"/>
            <w:vMerge w:val="restart"/>
          </w:tcPr>
          <w:p>
            <w:pPr>
              <w:ind w:left="720"/>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16"/>
                <w:szCs w:val="16"/>
                <w:color w:val="auto"/>
              </w:rPr>
            </w:pPr>
          </w:p>
        </w:tc>
        <w:tc>
          <w:tcPr>
            <w:tcW w:w="1420" w:type="dxa"/>
            <w:vAlign w:val="bottom"/>
            <w:vMerge w:val="restart"/>
          </w:tcPr>
          <w:p>
            <w:pPr>
              <w:jc w:val="right"/>
              <w:ind w:right="86"/>
              <w:spacing w:after="0"/>
              <w:rPr>
                <w:sz w:val="20"/>
                <w:szCs w:val="20"/>
                <w:color w:val="auto"/>
              </w:rPr>
            </w:pPr>
            <w:r>
              <w:rPr>
                <w:rFonts w:ascii="Arial" w:cs="Arial" w:eastAsia="Arial" w:hAnsi="Arial"/>
                <w:sz w:val="19"/>
                <w:szCs w:val="19"/>
                <w:b w:val="1"/>
                <w:bCs w:val="1"/>
                <w:color w:val="auto"/>
              </w:rPr>
              <w:t>6,040,872</w:t>
            </w:r>
          </w:p>
        </w:tc>
        <w:tc>
          <w:tcPr>
            <w:tcW w:w="0" w:type="dxa"/>
            <w:vAlign w:val="bottom"/>
          </w:tcPr>
          <w:p>
            <w:pPr>
              <w:spacing w:after="0"/>
              <w:rPr>
                <w:sz w:val="1"/>
                <w:szCs w:val="1"/>
                <w:color w:val="auto"/>
              </w:rPr>
            </w:pPr>
          </w:p>
        </w:tc>
      </w:tr>
      <w:tr>
        <w:trPr>
          <w:trHeight w:val="243"/>
        </w:trPr>
        <w:tc>
          <w:tcPr>
            <w:tcW w:w="47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(a)</w:t>
            </w: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27"/>
        </w:trPr>
        <w:tc>
          <w:tcPr>
            <w:tcW w:w="4720" w:type="dxa"/>
            <w:vAlign w:val="bottom"/>
            <w:tcBorders>
              <w:bottom w:val="single" w:sz="8" w:color="auto"/>
            </w:tcBorders>
          </w:tcPr>
          <w:p>
            <w:pPr>
              <w:ind w:left="140"/>
              <w:spacing w:after="0"/>
              <w:rPr>
                <w:sz w:val="20"/>
                <w:szCs w:val="20"/>
                <w:color w:val="auto"/>
              </w:rPr>
            </w:pPr>
            <w:r>
              <w:rPr>
                <w:rFonts w:ascii="Arial" w:cs="Arial" w:eastAsia="Arial" w:hAnsi="Arial"/>
                <w:sz w:val="19"/>
                <w:szCs w:val="19"/>
                <w:b w:val="1"/>
                <w:bCs w:val="1"/>
                <w:color w:val="auto"/>
              </w:rPr>
              <w:t>Total investments</w:t>
            </w:r>
          </w:p>
        </w:tc>
        <w:tc>
          <w:tcPr>
            <w:tcW w:w="46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527,784,172</w:t>
            </w:r>
          </w:p>
        </w:tc>
        <w:tc>
          <w:tcPr>
            <w:tcW w:w="36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36,975,032</w:t>
            </w: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b w:val="1"/>
                <w:bCs w:val="1"/>
                <w:color w:val="auto"/>
              </w:rPr>
              <w:t>$</w:t>
            </w: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9"/>
                <w:szCs w:val="19"/>
                <w:b w:val="1"/>
                <w:bCs w:val="1"/>
                <w:color w:val="auto"/>
              </w:rPr>
              <w:t>—</w:t>
            </w:r>
          </w:p>
        </w:tc>
        <w:tc>
          <w:tcPr>
            <w:tcW w:w="38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b w:val="1"/>
                <w:bCs w:val="1"/>
                <w:color w:val="auto"/>
              </w:rPr>
              <w:t>$</w:t>
            </w:r>
          </w:p>
        </w:tc>
        <w:tc>
          <w:tcPr>
            <w:tcW w:w="142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b w:val="1"/>
                <w:bCs w:val="1"/>
                <w:color w:val="auto"/>
              </w:rPr>
              <w:t>570,800,076</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460" w:right="80" w:firstLine="2"/>
        <w:spacing w:after="0" w:line="229" w:lineRule="auto"/>
        <w:tabs>
          <w:tab w:leader="none" w:pos="743" w:val="left"/>
        </w:tabs>
        <w:numPr>
          <w:ilvl w:val="0"/>
          <w:numId w:val="12"/>
        </w:numPr>
        <w:rPr>
          <w:rFonts w:ascii="Arial" w:cs="Arial" w:eastAsia="Arial" w:hAnsi="Arial"/>
          <w:sz w:val="19"/>
          <w:szCs w:val="19"/>
          <w:color w:val="auto"/>
        </w:rPr>
      </w:pPr>
      <w:r>
        <w:rPr>
          <w:rFonts w:ascii="Arial" w:cs="Arial" w:eastAsia="Arial" w:hAnsi="Arial"/>
          <w:sz w:val="19"/>
          <w:szCs w:val="19"/>
          <w:color w:val="auto"/>
        </w:rPr>
        <w:t>Certain investments that are measured at fair value using the NAV per share (or its equivalent) as a practical expedient have not been categorized in the fair value hierarchy. The fair value amounts presented in this table are intended to permit reconciliation of the fair value hierarchy to the amounts presented in the Statements of Net Assets Available for Plan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29"/>
          <w:szCs w:val="29"/>
          <w:b w:val="1"/>
          <w:bCs w:val="1"/>
          <w:color w:val="auto"/>
        </w:rPr>
        <w:t>STMicroelectronics, Inc. 401(k) Savings Plan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6350</wp:posOffset>
            </wp:positionV>
            <wp:extent cx="61804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9"/>
          <w:szCs w:val="19"/>
          <w:b w:val="1"/>
          <w:bCs w:val="1"/>
          <w:color w:val="auto"/>
        </w:rPr>
      </w:pPr>
      <w:r>
        <w:rPr>
          <w:rFonts w:ascii="Arial" w:cs="Arial" w:eastAsia="Arial" w:hAnsi="Arial"/>
          <w:sz w:val="22"/>
          <w:szCs w:val="22"/>
          <w:b w:val="1"/>
          <w:bCs w:val="1"/>
          <w:color w:val="auto"/>
        </w:rPr>
        <w:t>Related Party and Party-In-Interest Transactions</w:t>
      </w:r>
    </w:p>
    <w:p>
      <w:pPr>
        <w:spacing w:after="0" w:line="221"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Certain investments of the Plan consist of money market and mutual funds managed by the Trustee, Fidelity Management Trust Company. Certain advisory services are provided to the Plan by Strategic Advisors, Inc. an affiliate of the Trustee. These transactions are considered exempt party-in-interest transactions.</w:t>
      </w:r>
    </w:p>
    <w:p>
      <w:pPr>
        <w:spacing w:after="0" w:line="185" w:lineRule="exact"/>
        <w:rPr>
          <w:sz w:val="20"/>
          <w:szCs w:val="20"/>
          <w:color w:val="auto"/>
        </w:rPr>
      </w:pPr>
    </w:p>
    <w:p>
      <w:pPr>
        <w:jc w:val="both"/>
        <w:spacing w:after="0" w:line="220" w:lineRule="auto"/>
        <w:rPr>
          <w:sz w:val="20"/>
          <w:szCs w:val="20"/>
          <w:color w:val="auto"/>
        </w:rPr>
      </w:pPr>
      <w:r>
        <w:rPr>
          <w:rFonts w:ascii="Arial" w:cs="Arial" w:eastAsia="Arial" w:hAnsi="Arial"/>
          <w:sz w:val="19"/>
          <w:szCs w:val="19"/>
          <w:color w:val="auto"/>
        </w:rPr>
        <w:t>The Trustee and recordkeeper provides certain administrative services to the Plan pursuant to agreements with the Company. The Plan also issues notes to participants, which are secured by the participant’s account balances. These transactions qualify as exempt party-in-interest transactions under ERISA. In addition, certain employees of the Company provide administrative services for the Plan and are not reimbursed for their services from the Plan. Substantially all other administrative and legal expenses are paid by the Company on behalf of the Plan.</w:t>
      </w:r>
    </w:p>
    <w:p>
      <w:pPr>
        <w:spacing w:after="0" w:line="187"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In addition, the Plan investments include purchases and sales of stock in STMicroelectronics N.V., the parent company of ST, Inc.. At December 31, 2025 and 2024, the Plan held 283,071 and 311,152 shares, respectively, of the parent company’s common stock, with a cost basis of $6,476,290 and $7,130,504, respectively.</w:t>
      </w:r>
    </w:p>
    <w:p>
      <w:pPr>
        <w:spacing w:after="0" w:line="170"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Plan Termination</w:t>
      </w:r>
    </w:p>
    <w:p>
      <w:pPr>
        <w:spacing w:after="0" w:line="221"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Although it has not expressed any intent to do so, ST, Inc. has the right under the Plan to discontinue contributions and may elect to terminate the Plan at any time, subject to the provisions of the Plan document and ERISA. In the event of termination, partial termination, or discontinuance of the Plan, the Plan is required to pay any outstanding employer contributions due under the Plan and each participant shall be 100% vested in the Plan.</w:t>
      </w:r>
    </w:p>
    <w:p>
      <w:pPr>
        <w:spacing w:after="0" w:line="168"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Tax Status</w:t>
      </w:r>
    </w:p>
    <w:p>
      <w:pPr>
        <w:spacing w:after="0" w:line="221" w:lineRule="exact"/>
        <w:rPr>
          <w:sz w:val="20"/>
          <w:szCs w:val="20"/>
          <w:color w:val="auto"/>
        </w:rPr>
      </w:pPr>
    </w:p>
    <w:p>
      <w:pPr>
        <w:jc w:val="both"/>
        <w:spacing w:after="0" w:line="220" w:lineRule="auto"/>
        <w:rPr>
          <w:sz w:val="20"/>
          <w:szCs w:val="20"/>
          <w:color w:val="auto"/>
        </w:rPr>
      </w:pPr>
      <w:r>
        <w:rPr>
          <w:rFonts w:ascii="Arial" w:cs="Arial" w:eastAsia="Arial" w:hAnsi="Arial"/>
          <w:sz w:val="19"/>
          <w:szCs w:val="19"/>
          <w:color w:val="auto"/>
        </w:rPr>
        <w:t>The Plan obtained its latest determination letter on April 20, 2018, in which the Internal Revenue Service stated that the Plan, as then designed, was in compliance with the applicable requirements of the Internal Revenue Code (“IRC”). Although the Plan has been amended since receiving the determination letter, management believes that the Plan is designed, and is currently being operated, in compliance with the applicable requirements of the IRC and, therefore, believe that the Plan is qualified, and the related trust is tax-exempt.</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19"/>
          <w:szCs w:val="19"/>
          <w:color w:val="auto"/>
        </w:rPr>
        <w:t>GAAP requires plan management to evaluate tax positions taken by the Plan and recognize a tax liability (or asset) if the organization has taken an uncertain position that more likely than not would not be sustained upon examination by the Internal Revenue Service. The Plan Administrator has analyzed the tax positions taken by the Plan, and has concluded that as of December 31, 2025 and 2024, there are no uncertain positions taken or expected to be taken that would require recognition of the liability (or asset) or disclosure in the financial statements. The Plan is subject to routine audits by taxing jurisdictions; however, there are currently no audits for any tax periods in progress.</w:t>
      </w:r>
    </w:p>
    <w:p>
      <w:pPr>
        <w:spacing w:after="0" w:line="171"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Subsequent Events</w:t>
      </w:r>
    </w:p>
    <w:p>
      <w:pPr>
        <w:spacing w:after="0" w:line="221"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The Plan’s Management has evaluated subsequent events through the date on which the financial statements were issued and determined that no significant subsequent events have occurred requiring adjustments to the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212090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ind w:left="2580"/>
        <w:spacing w:after="0"/>
        <w:rPr>
          <w:sz w:val="20"/>
          <w:szCs w:val="20"/>
          <w:color w:val="auto"/>
        </w:rPr>
      </w:pPr>
      <w:r>
        <w:rPr>
          <w:rFonts w:ascii="Arial" w:cs="Arial" w:eastAsia="Arial" w:hAnsi="Arial"/>
          <w:sz w:val="29"/>
          <w:szCs w:val="29"/>
          <w:b w:val="1"/>
          <w:bCs w:val="1"/>
          <w:color w:val="auto"/>
        </w:rPr>
        <w:t>STMicroelectronics, Inc. 401(k) Savings Plan</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Schedule H, line 4i – Schedule of Assets (Held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6350</wp:posOffset>
            </wp:positionV>
            <wp:extent cx="61804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EIN: 04-2495946</w:t>
            </w:r>
          </w:p>
        </w:tc>
        <w:tc>
          <w:tcPr>
            <w:tcW w:w="0" w:type="dxa"/>
            <w:vAlign w:val="bottom"/>
          </w:tcPr>
          <w:p>
            <w:pPr>
              <w:spacing w:after="0"/>
              <w:rPr>
                <w:sz w:val="1"/>
                <w:szCs w:val="1"/>
                <w:color w:val="auto"/>
              </w:rPr>
            </w:pPr>
          </w:p>
        </w:tc>
      </w:tr>
      <w:tr>
        <w:trPr>
          <w:trHeight w:val="235"/>
        </w:trPr>
        <w:tc>
          <w:tcPr>
            <w:tcW w:w="5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i w:val="1"/>
                <w:iCs w:val="1"/>
                <w:color w:val="auto"/>
              </w:rPr>
              <w:t>As of December 31, 2025</w:t>
            </w:r>
          </w:p>
        </w:tc>
        <w:tc>
          <w:tcPr>
            <w:tcW w:w="29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Plan Number: 001</w:t>
            </w:r>
          </w:p>
        </w:tc>
        <w:tc>
          <w:tcPr>
            <w:tcW w:w="0" w:type="dxa"/>
            <w:vAlign w:val="bottom"/>
          </w:tcPr>
          <w:p>
            <w:pPr>
              <w:spacing w:after="0"/>
              <w:rPr>
                <w:sz w:val="1"/>
                <w:szCs w:val="1"/>
                <w:color w:val="auto"/>
              </w:rPr>
            </w:pPr>
          </w:p>
        </w:tc>
      </w:tr>
      <w:tr>
        <w:trPr>
          <w:trHeight w:val="241"/>
        </w:trPr>
        <w:tc>
          <w:tcPr>
            <w:tcW w:w="400" w:type="dxa"/>
            <w:vAlign w:val="bottom"/>
          </w:tcPr>
          <w:p>
            <w:pPr>
              <w:ind w:left="120"/>
              <w:spacing w:after="0"/>
              <w:rPr>
                <w:sz w:val="20"/>
                <w:szCs w:val="20"/>
                <w:color w:val="auto"/>
              </w:rPr>
            </w:pPr>
            <w:r>
              <w:rPr>
                <w:rFonts w:ascii="Arial" w:cs="Arial" w:eastAsia="Arial" w:hAnsi="Arial"/>
                <w:sz w:val="18"/>
                <w:szCs w:val="18"/>
                <w:color w:val="auto"/>
              </w:rPr>
              <w:t>(a)</w:t>
            </w:r>
          </w:p>
        </w:tc>
        <w:tc>
          <w:tcPr>
            <w:tcW w:w="5400" w:type="dxa"/>
            <w:vAlign w:val="bottom"/>
          </w:tcPr>
          <w:p>
            <w:pPr>
              <w:jc w:val="center"/>
              <w:ind w:left="330"/>
              <w:spacing w:after="0"/>
              <w:rPr>
                <w:sz w:val="20"/>
                <w:szCs w:val="20"/>
                <w:color w:val="auto"/>
              </w:rPr>
            </w:pPr>
            <w:r>
              <w:rPr>
                <w:rFonts w:ascii="Arial" w:cs="Arial" w:eastAsia="Arial" w:hAnsi="Arial"/>
                <w:sz w:val="18"/>
                <w:szCs w:val="18"/>
                <w:color w:val="auto"/>
                <w:w w:val="99"/>
              </w:rPr>
              <w:t>(b)</w:t>
            </w:r>
          </w:p>
        </w:tc>
        <w:tc>
          <w:tcPr>
            <w:tcW w:w="2920" w:type="dxa"/>
            <w:vAlign w:val="bottom"/>
          </w:tcPr>
          <w:p>
            <w:pPr>
              <w:jc w:val="center"/>
              <w:ind w:left="210"/>
              <w:spacing w:after="0"/>
              <w:rPr>
                <w:sz w:val="20"/>
                <w:szCs w:val="20"/>
                <w:color w:val="auto"/>
              </w:rPr>
            </w:pPr>
            <w:r>
              <w:rPr>
                <w:rFonts w:ascii="Arial" w:cs="Arial" w:eastAsia="Arial" w:hAnsi="Arial"/>
                <w:sz w:val="18"/>
                <w:szCs w:val="18"/>
                <w:color w:val="auto"/>
              </w:rPr>
              <w:t>(c)</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32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(e)</w:t>
            </w: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920" w:type="dxa"/>
            <w:vAlign w:val="bottom"/>
          </w:tcPr>
          <w:p>
            <w:pPr>
              <w:jc w:val="center"/>
              <w:ind w:left="210"/>
              <w:spacing w:after="0"/>
              <w:rPr>
                <w:sz w:val="20"/>
                <w:szCs w:val="20"/>
                <w:color w:val="auto"/>
              </w:rPr>
            </w:pPr>
            <w:r>
              <w:rPr>
                <w:rFonts w:ascii="Arial" w:cs="Arial" w:eastAsia="Arial" w:hAnsi="Arial"/>
                <w:sz w:val="18"/>
                <w:szCs w:val="18"/>
                <w:color w:val="auto"/>
                <w:w w:val="99"/>
              </w:rPr>
              <w:t>Description of Investment</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5400" w:type="dxa"/>
            <w:vAlign w:val="bottom"/>
            <w:vMerge w:val="restart"/>
          </w:tcPr>
          <w:p>
            <w:pPr>
              <w:jc w:val="center"/>
              <w:ind w:left="330"/>
              <w:spacing w:after="0"/>
              <w:rPr>
                <w:sz w:val="20"/>
                <w:szCs w:val="20"/>
                <w:color w:val="auto"/>
              </w:rPr>
            </w:pPr>
            <w:r>
              <w:rPr>
                <w:rFonts w:ascii="Arial" w:cs="Arial" w:eastAsia="Arial" w:hAnsi="Arial"/>
                <w:sz w:val="18"/>
                <w:szCs w:val="18"/>
                <w:color w:val="auto"/>
                <w:w w:val="99"/>
              </w:rPr>
              <w:t>Identity of Issue, Borrower,</w:t>
            </w:r>
          </w:p>
        </w:tc>
        <w:tc>
          <w:tcPr>
            <w:tcW w:w="2920" w:type="dxa"/>
            <w:vAlign w:val="bottom"/>
          </w:tcPr>
          <w:p>
            <w:pPr>
              <w:jc w:val="center"/>
              <w:ind w:left="230"/>
              <w:spacing w:after="0" w:line="183" w:lineRule="exact"/>
              <w:rPr>
                <w:sz w:val="20"/>
                <w:szCs w:val="20"/>
                <w:color w:val="auto"/>
              </w:rPr>
            </w:pPr>
            <w:r>
              <w:rPr>
                <w:rFonts w:ascii="Arial" w:cs="Arial" w:eastAsia="Arial" w:hAnsi="Arial"/>
                <w:sz w:val="18"/>
                <w:szCs w:val="18"/>
                <w:color w:val="auto"/>
                <w:w w:val="99"/>
              </w:rPr>
              <w:t>Including Maturity Date, Rate</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 w:type="dxa"/>
            <w:vAlign w:val="bottom"/>
          </w:tcPr>
          <w:p>
            <w:pPr>
              <w:spacing w:after="0"/>
              <w:rPr>
                <w:sz w:val="15"/>
                <w:szCs w:val="15"/>
                <w:color w:val="auto"/>
              </w:rPr>
            </w:pPr>
          </w:p>
        </w:tc>
        <w:tc>
          <w:tcPr>
            <w:tcW w:w="5400" w:type="dxa"/>
            <w:vAlign w:val="bottom"/>
            <w:vMerge w:val="continue"/>
          </w:tcPr>
          <w:p>
            <w:pPr>
              <w:spacing w:after="0"/>
              <w:rPr>
                <w:sz w:val="15"/>
                <w:szCs w:val="15"/>
                <w:color w:val="auto"/>
              </w:rPr>
            </w:pPr>
          </w:p>
        </w:tc>
        <w:tc>
          <w:tcPr>
            <w:tcW w:w="2920" w:type="dxa"/>
            <w:vAlign w:val="bottom"/>
          </w:tcPr>
          <w:p>
            <w:pPr>
              <w:jc w:val="center"/>
              <w:ind w:left="210"/>
              <w:spacing w:after="0" w:line="181" w:lineRule="exact"/>
              <w:rPr>
                <w:sz w:val="20"/>
                <w:szCs w:val="20"/>
                <w:color w:val="auto"/>
              </w:rPr>
            </w:pPr>
            <w:r>
              <w:rPr>
                <w:rFonts w:ascii="Arial" w:cs="Arial" w:eastAsia="Arial" w:hAnsi="Arial"/>
                <w:sz w:val="18"/>
                <w:szCs w:val="18"/>
                <w:color w:val="auto"/>
                <w:w w:val="99"/>
              </w:rPr>
              <w:t>of Interest, Collateral, Par, or</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rPr>
              <w:t>Cost</w:t>
            </w:r>
          </w:p>
        </w:tc>
        <w:tc>
          <w:tcPr>
            <w:tcW w:w="320" w:type="dxa"/>
            <w:vAlign w:val="bottom"/>
          </w:tcPr>
          <w:p>
            <w:pPr>
              <w:spacing w:after="0"/>
              <w:rPr>
                <w:sz w:val="15"/>
                <w:szCs w:val="15"/>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Current Value</w:t>
            </w:r>
          </w:p>
        </w:tc>
        <w:tc>
          <w:tcPr>
            <w:tcW w:w="0" w:type="dxa"/>
            <w:vAlign w:val="bottom"/>
          </w:tcPr>
          <w:p>
            <w:pPr>
              <w:spacing w:after="0"/>
              <w:rPr>
                <w:sz w:val="1"/>
                <w:szCs w:val="1"/>
                <w:color w:val="auto"/>
              </w:rPr>
            </w:pPr>
          </w:p>
        </w:tc>
      </w:tr>
      <w:tr>
        <w:trPr>
          <w:trHeight w:val="230"/>
        </w:trPr>
        <w:tc>
          <w:tcPr>
            <w:tcW w:w="400" w:type="dxa"/>
            <w:vAlign w:val="bottom"/>
            <w:tcBorders>
              <w:bottom w:val="single" w:sz="8" w:color="auto"/>
            </w:tcBorders>
          </w:tcPr>
          <w:p>
            <w:pPr>
              <w:spacing w:after="0"/>
              <w:rPr>
                <w:sz w:val="19"/>
                <w:szCs w:val="19"/>
                <w:color w:val="auto"/>
              </w:rPr>
            </w:pPr>
          </w:p>
        </w:tc>
        <w:tc>
          <w:tcPr>
            <w:tcW w:w="54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9"/>
              </w:rPr>
              <w:t>Lessor or Similar Party</w:t>
            </w:r>
          </w:p>
        </w:tc>
        <w:tc>
          <w:tcPr>
            <w:tcW w:w="29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9"/>
              </w:rPr>
              <w:t>Maturity Value</w:t>
            </w:r>
          </w:p>
        </w:tc>
        <w:tc>
          <w:tcPr>
            <w:tcW w:w="6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5800" w:type="dxa"/>
            <w:vAlign w:val="bottom"/>
            <w:gridSpan w:val="2"/>
          </w:tcPr>
          <w:p>
            <w:pPr>
              <w:ind w:left="80"/>
              <w:spacing w:after="0"/>
              <w:rPr>
                <w:sz w:val="20"/>
                <w:szCs w:val="20"/>
                <w:color w:val="auto"/>
              </w:rPr>
            </w:pPr>
            <w:r>
              <w:rPr>
                <w:rFonts w:ascii="Arial" w:cs="Arial" w:eastAsia="Arial" w:hAnsi="Arial"/>
                <w:sz w:val="18"/>
                <w:szCs w:val="18"/>
                <w:color w:val="auto"/>
              </w:rPr>
              <w:t>Mutual Funds</w:t>
            </w:r>
          </w:p>
        </w:tc>
        <w:tc>
          <w:tcPr>
            <w:tcW w:w="2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500 Index Fund</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96,379,933</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Contrafund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85,461,899</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Vanguard Growth Index Fund Institutional Shares</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47,443,246</w:t>
            </w:r>
          </w:p>
        </w:tc>
        <w:tc>
          <w:tcPr>
            <w:tcW w:w="0" w:type="dxa"/>
            <w:vAlign w:val="bottom"/>
          </w:tcPr>
          <w:p>
            <w:pPr>
              <w:spacing w:after="0"/>
              <w:rPr>
                <w:sz w:val="1"/>
                <w:szCs w:val="1"/>
                <w:color w:val="auto"/>
              </w:rPr>
            </w:pPr>
          </w:p>
        </w:tc>
      </w:tr>
      <w:tr>
        <w:trPr>
          <w:trHeight w:val="229"/>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Freedom 2035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36,598,668</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Freedom 2030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30,524,367</w:t>
            </w:r>
          </w:p>
        </w:tc>
        <w:tc>
          <w:tcPr>
            <w:tcW w:w="0" w:type="dxa"/>
            <w:vAlign w:val="bottom"/>
          </w:tcPr>
          <w:p>
            <w:pPr>
              <w:spacing w:after="0"/>
              <w:rPr>
                <w:sz w:val="1"/>
                <w:szCs w:val="1"/>
                <w:color w:val="auto"/>
              </w:rPr>
            </w:pPr>
          </w:p>
        </w:tc>
      </w:tr>
      <w:tr>
        <w:trPr>
          <w:trHeight w:val="229"/>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Freedom 2040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29,790,391</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Harbor Capital Appreciation Fund Institutional Class</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18,673,363</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Vanguard Mid-Cap Index Fund Institutional Shares</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17,535,048</w:t>
            </w:r>
          </w:p>
        </w:tc>
        <w:tc>
          <w:tcPr>
            <w:tcW w:w="0" w:type="dxa"/>
            <w:vAlign w:val="bottom"/>
          </w:tcPr>
          <w:p>
            <w:pPr>
              <w:spacing w:after="0"/>
              <w:rPr>
                <w:sz w:val="1"/>
                <w:szCs w:val="1"/>
                <w:color w:val="auto"/>
              </w:rPr>
            </w:pPr>
          </w:p>
        </w:tc>
      </w:tr>
      <w:tr>
        <w:trPr>
          <w:trHeight w:val="229"/>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Freedom 2025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15,850,588</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Freedom 2045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15,587,468</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Vanguard Value Index Fund Institutional Shares</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15,399,726</w:t>
            </w:r>
          </w:p>
        </w:tc>
        <w:tc>
          <w:tcPr>
            <w:tcW w:w="0" w:type="dxa"/>
            <w:vAlign w:val="bottom"/>
          </w:tcPr>
          <w:p>
            <w:pPr>
              <w:spacing w:after="0"/>
              <w:rPr>
                <w:sz w:val="1"/>
                <w:szCs w:val="1"/>
                <w:color w:val="auto"/>
              </w:rPr>
            </w:pPr>
          </w:p>
        </w:tc>
      </w:tr>
      <w:tr>
        <w:trPr>
          <w:trHeight w:val="229"/>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U.S. Bond Index Fund</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11,749,470</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International Index Fund</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11,408,014</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Freedom 2050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10,974,445</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Total Bond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10,922,543</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Balanced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10,167,553</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Puritan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9,630,779</w:t>
            </w:r>
          </w:p>
        </w:tc>
        <w:tc>
          <w:tcPr>
            <w:tcW w:w="0" w:type="dxa"/>
            <w:vAlign w:val="bottom"/>
          </w:tcPr>
          <w:p>
            <w:pPr>
              <w:spacing w:after="0"/>
              <w:rPr>
                <w:sz w:val="1"/>
                <w:szCs w:val="1"/>
                <w:color w:val="auto"/>
              </w:rPr>
            </w:pPr>
          </w:p>
        </w:tc>
      </w:tr>
      <w:tr>
        <w:trPr>
          <w:trHeight w:val="229"/>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Mid-Cap Stock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7,616,012</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Emerging Markets Fund - Class K</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6,431,087</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Low-Priced Stock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6,429,321</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MainStay MacKay High Yield Corporate Bond Fund Class R6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5,725,975</w:t>
            </w:r>
          </w:p>
        </w:tc>
        <w:tc>
          <w:tcPr>
            <w:tcW w:w="0" w:type="dxa"/>
            <w:vAlign w:val="bottom"/>
          </w:tcPr>
          <w:p>
            <w:pPr>
              <w:spacing w:after="0"/>
              <w:rPr>
                <w:sz w:val="1"/>
                <w:szCs w:val="1"/>
                <w:color w:val="auto"/>
              </w:rPr>
            </w:pPr>
          </w:p>
        </w:tc>
      </w:tr>
      <w:tr>
        <w:trPr>
          <w:trHeight w:val="229"/>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Freedom 2055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5,613,893</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Vanguard Small-Cap Index Fund Admiral Shares</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4,119,870</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Cohen &amp; Steers Institutional Realty Shares</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4,011,189</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Freedom 2020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3,774,439</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PIMCO Real Return Fund Institutional Class</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3,318,969</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Freedom 2015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3,247,486</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Freedom 2060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2,946,554</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MFS International Diversification Fund Class R6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2,125,934</w:t>
            </w:r>
          </w:p>
        </w:tc>
        <w:tc>
          <w:tcPr>
            <w:tcW w:w="0" w:type="dxa"/>
            <w:vAlign w:val="bottom"/>
          </w:tcPr>
          <w:p>
            <w:pPr>
              <w:spacing w:after="0"/>
              <w:rPr>
                <w:sz w:val="1"/>
                <w:szCs w:val="1"/>
                <w:color w:val="auto"/>
              </w:rPr>
            </w:pPr>
          </w:p>
        </w:tc>
      </w:tr>
      <w:tr>
        <w:trPr>
          <w:trHeight w:val="229"/>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Freedom 2065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1,172,587</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Freedom 2010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997,097</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Wasatch Core Growth Fund Institutional Class Shares</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828,175</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  Fidelity Freedom Income Fund – Class K6</w:t>
            </w:r>
          </w:p>
        </w:tc>
        <w:tc>
          <w:tcPr>
            <w:tcW w:w="2920" w:type="dxa"/>
            <w:vAlign w:val="bottom"/>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699,620</w:t>
            </w:r>
          </w:p>
        </w:tc>
        <w:tc>
          <w:tcPr>
            <w:tcW w:w="0" w:type="dxa"/>
            <w:vAlign w:val="bottom"/>
          </w:tcPr>
          <w:p>
            <w:pPr>
              <w:spacing w:after="0"/>
              <w:rPr>
                <w:sz w:val="1"/>
                <w:szCs w:val="1"/>
                <w:color w:val="auto"/>
              </w:rPr>
            </w:pPr>
          </w:p>
        </w:tc>
      </w:tr>
      <w:tr>
        <w:trPr>
          <w:trHeight w:val="235"/>
        </w:trPr>
        <w:tc>
          <w:tcPr>
            <w:tcW w:w="40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Allspring Special Small Cap Value Fund - Class R6</w:t>
            </w:r>
          </w:p>
        </w:tc>
        <w:tc>
          <w:tcPr>
            <w:tcW w:w="29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9"/>
              </w:rPr>
              <w:t>Mutual Fund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458,741</w:t>
            </w:r>
          </w:p>
        </w:tc>
        <w:tc>
          <w:tcPr>
            <w:tcW w:w="0" w:type="dxa"/>
            <w:vAlign w:val="bottom"/>
          </w:tcPr>
          <w:p>
            <w:pPr>
              <w:spacing w:after="0"/>
              <w:rPr>
                <w:sz w:val="1"/>
                <w:szCs w:val="1"/>
                <w:color w:val="auto"/>
              </w:rPr>
            </w:pPr>
          </w:p>
        </w:tc>
      </w:tr>
      <w:tr>
        <w:trPr>
          <w:trHeight w:val="308"/>
        </w:trPr>
        <w:tc>
          <w:tcPr>
            <w:tcW w:w="4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533,614,450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0" w:right="599" w:bottom="1440" w:gutter="0" w:footer="0" w:header="0"/>
        </w:sectPr>
      </w:pPr>
    </w:p>
    <w:bookmarkStart w:id="15" w:name="page16"/>
    <w:bookmarkEnd w:id="15"/>
    <w:p>
      <w:pPr>
        <w:jc w:val="center"/>
        <w:ind w:right="-139"/>
        <w:spacing w:after="0"/>
        <w:rPr>
          <w:sz w:val="20"/>
          <w:szCs w:val="20"/>
          <w:color w:val="auto"/>
        </w:rPr>
      </w:pPr>
      <w:r>
        <w:rPr>
          <w:rFonts w:ascii="Arial" w:cs="Arial" w:eastAsia="Arial" w:hAnsi="Arial"/>
          <w:sz w:val="29"/>
          <w:szCs w:val="29"/>
          <w:b w:val="1"/>
          <w:bCs w:val="1"/>
          <w:color w:val="auto"/>
        </w:rPr>
        <w:t>STMicroelectronics, Inc. 401(k) Savings Plan</w:t>
      </w:r>
    </w:p>
    <w:p>
      <w:pPr>
        <w:spacing w:after="0" w:line="4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H, line 4i – Schedule of Assets (Held at End of Year)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6350</wp:posOffset>
            </wp:positionV>
            <wp:extent cx="61804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200" w:type="dxa"/>
            <w:vAlign w:val="bottom"/>
            <w:vMerge w:val="restart"/>
          </w:tcPr>
          <w:p>
            <w:pPr>
              <w:jc w:val="right"/>
              <w:ind w:right="30"/>
              <w:spacing w:after="0"/>
              <w:rPr>
                <w:sz w:val="20"/>
                <w:szCs w:val="20"/>
                <w:color w:val="auto"/>
              </w:rPr>
            </w:pPr>
            <w:r>
              <w:rPr>
                <w:rFonts w:ascii="Arial" w:cs="Arial" w:eastAsia="Arial" w:hAnsi="Arial"/>
                <w:sz w:val="18"/>
                <w:szCs w:val="18"/>
                <w:color w:val="auto"/>
                <w:w w:val="84"/>
              </w:rPr>
              <w:t>*</w:t>
            </w:r>
          </w:p>
        </w:tc>
        <w:tc>
          <w:tcPr>
            <w:tcW w:w="6000" w:type="dxa"/>
            <w:vAlign w:val="bottom"/>
          </w:tcPr>
          <w:p>
            <w:pPr>
              <w:ind w:left="120"/>
              <w:spacing w:after="0"/>
              <w:rPr>
                <w:sz w:val="20"/>
                <w:szCs w:val="20"/>
                <w:color w:val="auto"/>
              </w:rPr>
            </w:pPr>
            <w:r>
              <w:rPr>
                <w:rFonts w:ascii="Arial" w:cs="Arial" w:eastAsia="Arial" w:hAnsi="Arial"/>
                <w:sz w:val="18"/>
                <w:szCs w:val="18"/>
                <w:color w:val="auto"/>
              </w:rPr>
              <w:t>Fidelity Investments Money Market Government Portfolio – Institutional</w:t>
            </w:r>
          </w:p>
        </w:tc>
        <w:tc>
          <w:tcPr>
            <w:tcW w:w="2220" w:type="dxa"/>
            <w:vAlign w:val="bottom"/>
            <w:vMerge w:val="restart"/>
          </w:tcPr>
          <w:p>
            <w:pPr>
              <w:ind w:left="240"/>
              <w:spacing w:after="0"/>
              <w:rPr>
                <w:sz w:val="20"/>
                <w:szCs w:val="20"/>
                <w:color w:val="auto"/>
              </w:rPr>
            </w:pPr>
            <w:r>
              <w:rPr>
                <w:rFonts w:ascii="Arial" w:cs="Arial" w:eastAsia="Arial" w:hAnsi="Arial"/>
                <w:sz w:val="18"/>
                <w:szCs w:val="18"/>
                <w:color w:val="auto"/>
              </w:rPr>
              <w:t>Money Market Fund</w:t>
            </w: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0" w:type="dxa"/>
            <w:vAlign w:val="bottom"/>
            <w:vMerge w:val="continue"/>
          </w:tcPr>
          <w:p>
            <w:pPr>
              <w:spacing w:after="0"/>
              <w:rPr>
                <w:sz w:val="13"/>
                <w:szCs w:val="13"/>
                <w:color w:val="auto"/>
              </w:rPr>
            </w:pPr>
          </w:p>
        </w:tc>
        <w:tc>
          <w:tcPr>
            <w:tcW w:w="6000" w:type="dxa"/>
            <w:vAlign w:val="bottom"/>
            <w:vMerge w:val="restart"/>
          </w:tcPr>
          <w:p>
            <w:pPr>
              <w:ind w:left="120"/>
              <w:spacing w:after="0"/>
              <w:rPr>
                <w:sz w:val="20"/>
                <w:szCs w:val="20"/>
                <w:color w:val="auto"/>
              </w:rPr>
            </w:pPr>
            <w:r>
              <w:rPr>
                <w:rFonts w:ascii="Arial" w:cs="Arial" w:eastAsia="Arial" w:hAnsi="Arial"/>
                <w:sz w:val="18"/>
                <w:szCs w:val="18"/>
                <w:color w:val="auto"/>
              </w:rPr>
              <w:t>Class</w:t>
            </w:r>
          </w:p>
        </w:tc>
        <w:tc>
          <w:tcPr>
            <w:tcW w:w="22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33,201,277</w:t>
            </w: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6000" w:type="dxa"/>
            <w:vAlign w:val="bottom"/>
            <w:vMerge w:val="continue"/>
          </w:tcPr>
          <w:p>
            <w:pPr>
              <w:spacing w:after="0"/>
              <w:rPr>
                <w:sz w:val="8"/>
                <w:szCs w:val="8"/>
                <w:color w:val="auto"/>
              </w:rPr>
            </w:pPr>
          </w:p>
        </w:tc>
        <w:tc>
          <w:tcPr>
            <w:tcW w:w="2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500" w:hanging="31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STMicroelectronics N.V. Stock Fund: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 w:type="dxa"/>
            <w:vAlign w:val="bottom"/>
          </w:tcPr>
          <w:p>
            <w:pPr>
              <w:spacing w:after="0"/>
              <w:rPr>
                <w:sz w:val="19"/>
                <w:szCs w:val="19"/>
                <w:color w:val="auto"/>
              </w:rPr>
            </w:pPr>
          </w:p>
        </w:tc>
        <w:tc>
          <w:tcPr>
            <w:tcW w:w="5460" w:type="dxa"/>
            <w:vAlign w:val="bottom"/>
          </w:tcPr>
          <w:p>
            <w:pPr>
              <w:ind w:left="640"/>
              <w:spacing w:after="0"/>
              <w:rPr>
                <w:sz w:val="20"/>
                <w:szCs w:val="20"/>
                <w:color w:val="auto"/>
              </w:rPr>
            </w:pPr>
            <w:r>
              <w:rPr>
                <w:rFonts w:ascii="Arial" w:cs="Arial" w:eastAsia="Arial" w:hAnsi="Arial"/>
                <w:sz w:val="18"/>
                <w:szCs w:val="18"/>
                <w:color w:val="auto"/>
              </w:rPr>
              <w:t>STMicroelectronics N.V. Common Stock Shares</w:t>
            </w:r>
          </w:p>
        </w:tc>
        <w:tc>
          <w:tcPr>
            <w:tcW w:w="3000" w:type="dxa"/>
            <w:vAlign w:val="bottom"/>
          </w:tcPr>
          <w:p>
            <w:pPr>
              <w:jc w:val="center"/>
              <w:ind w:left="131"/>
              <w:spacing w:after="0"/>
              <w:rPr>
                <w:sz w:val="20"/>
                <w:szCs w:val="20"/>
                <w:color w:val="auto"/>
              </w:rPr>
            </w:pPr>
            <w:r>
              <w:rPr>
                <w:rFonts w:ascii="Arial" w:cs="Arial" w:eastAsia="Arial" w:hAnsi="Arial"/>
                <w:sz w:val="18"/>
                <w:szCs w:val="18"/>
                <w:color w:val="auto"/>
                <w:w w:val="99"/>
              </w:rPr>
              <w:t>Common Stock</w:t>
            </w:r>
          </w:p>
        </w:tc>
        <w:tc>
          <w:tcPr>
            <w:tcW w:w="1000" w:type="dxa"/>
            <w:vAlign w:val="bottom"/>
          </w:tcPr>
          <w:p>
            <w:pPr>
              <w:jc w:val="center"/>
              <w:ind w:right="413"/>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7,342,862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460" w:type="dxa"/>
            <w:vAlign w:val="bottom"/>
          </w:tcPr>
          <w:p>
            <w:pPr>
              <w:ind w:left="680"/>
              <w:spacing w:after="0"/>
              <w:rPr>
                <w:sz w:val="20"/>
                <w:szCs w:val="20"/>
                <w:color w:val="auto"/>
              </w:rPr>
            </w:pPr>
            <w:r>
              <w:rPr>
                <w:rFonts w:ascii="Arial" w:cs="Arial" w:eastAsia="Arial" w:hAnsi="Arial"/>
                <w:sz w:val="18"/>
                <w:szCs w:val="18"/>
                <w:color w:val="auto"/>
              </w:rPr>
              <w:t>Fidelity Investments Money Market Treasury Portfolio</w:t>
            </w:r>
          </w:p>
        </w:tc>
        <w:tc>
          <w:tcPr>
            <w:tcW w:w="3000" w:type="dxa"/>
            <w:vAlign w:val="bottom"/>
          </w:tcPr>
          <w:p>
            <w:pPr>
              <w:jc w:val="center"/>
              <w:ind w:left="151"/>
              <w:spacing w:after="0"/>
              <w:rPr>
                <w:sz w:val="20"/>
                <w:szCs w:val="20"/>
                <w:color w:val="auto"/>
              </w:rPr>
            </w:pPr>
            <w:r>
              <w:rPr>
                <w:rFonts w:ascii="Arial" w:cs="Arial" w:eastAsia="Arial" w:hAnsi="Arial"/>
                <w:sz w:val="18"/>
                <w:szCs w:val="18"/>
                <w:color w:val="auto"/>
                <w:w w:val="99"/>
              </w:rPr>
              <w:t>Money Market Fund</w:t>
            </w:r>
          </w:p>
        </w:tc>
        <w:tc>
          <w:tcPr>
            <w:tcW w:w="1000" w:type="dxa"/>
            <w:vAlign w:val="bottom"/>
          </w:tcPr>
          <w:p>
            <w:pPr>
              <w:jc w:val="center"/>
              <w:ind w:right="413"/>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229,814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460" w:type="dxa"/>
            <w:vAlign w:val="bottom"/>
            <w:vMerge w:val="restart"/>
          </w:tcPr>
          <w:p>
            <w:pPr>
              <w:ind w:left="160"/>
              <w:spacing w:after="0"/>
              <w:rPr>
                <w:sz w:val="20"/>
                <w:szCs w:val="20"/>
                <w:color w:val="auto"/>
              </w:rPr>
            </w:pPr>
            <w:r>
              <w:rPr>
                <w:rFonts w:ascii="Arial" w:cs="Arial" w:eastAsia="Arial" w:hAnsi="Arial"/>
                <w:sz w:val="18"/>
                <w:szCs w:val="18"/>
                <w:color w:val="auto"/>
              </w:rPr>
              <w:t>BrokerageLink</w:t>
            </w:r>
          </w:p>
        </w:tc>
        <w:tc>
          <w:tcPr>
            <w:tcW w:w="3000" w:type="dxa"/>
            <w:vAlign w:val="bottom"/>
          </w:tcPr>
          <w:p>
            <w:pPr>
              <w:jc w:val="center"/>
              <w:ind w:left="131"/>
              <w:spacing w:after="0" w:line="181" w:lineRule="exact"/>
              <w:rPr>
                <w:sz w:val="20"/>
                <w:szCs w:val="20"/>
                <w:color w:val="auto"/>
              </w:rPr>
            </w:pPr>
            <w:r>
              <w:rPr>
                <w:rFonts w:ascii="Arial" w:cs="Arial" w:eastAsia="Arial" w:hAnsi="Arial"/>
                <w:sz w:val="18"/>
                <w:szCs w:val="18"/>
                <w:color w:val="auto"/>
                <w:w w:val="99"/>
              </w:rPr>
              <w:t>Participant-Directed</w:t>
            </w:r>
          </w:p>
        </w:tc>
        <w:tc>
          <w:tcPr>
            <w:tcW w:w="1000" w:type="dxa"/>
            <w:vAlign w:val="bottom"/>
            <w:vMerge w:val="restart"/>
          </w:tcPr>
          <w:p>
            <w:pPr>
              <w:jc w:val="center"/>
              <w:ind w:right="413"/>
              <w:spacing w:after="0"/>
              <w:rPr>
                <w:sz w:val="20"/>
                <w:szCs w:val="20"/>
                <w:color w:val="auto"/>
              </w:rPr>
            </w:pPr>
            <w:r>
              <w:rPr>
                <w:rFonts w:ascii="Arial" w:cs="Arial" w:eastAsia="Arial" w:hAnsi="Arial"/>
                <w:sz w:val="18"/>
                <w:szCs w:val="18"/>
                <w:color w:val="auto"/>
                <w:w w:val="99"/>
              </w:rPr>
              <w:t>**</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40" w:type="dxa"/>
            <w:vAlign w:val="bottom"/>
            <w:vMerge w:val="continue"/>
          </w:tcPr>
          <w:p>
            <w:pPr>
              <w:spacing w:after="0"/>
              <w:rPr>
                <w:sz w:val="13"/>
                <w:szCs w:val="13"/>
                <w:color w:val="auto"/>
              </w:rPr>
            </w:pPr>
          </w:p>
        </w:tc>
        <w:tc>
          <w:tcPr>
            <w:tcW w:w="5460" w:type="dxa"/>
            <w:vAlign w:val="bottom"/>
            <w:vMerge w:val="continue"/>
          </w:tcPr>
          <w:p>
            <w:pPr>
              <w:spacing w:after="0"/>
              <w:rPr>
                <w:sz w:val="13"/>
                <w:szCs w:val="13"/>
                <w:color w:val="auto"/>
              </w:rPr>
            </w:pPr>
          </w:p>
        </w:tc>
        <w:tc>
          <w:tcPr>
            <w:tcW w:w="3000" w:type="dxa"/>
            <w:vAlign w:val="bottom"/>
            <w:vMerge w:val="restart"/>
          </w:tcPr>
          <w:p>
            <w:pPr>
              <w:jc w:val="center"/>
              <w:ind w:left="131"/>
              <w:spacing w:after="0"/>
              <w:rPr>
                <w:sz w:val="20"/>
                <w:szCs w:val="20"/>
                <w:color w:val="auto"/>
              </w:rPr>
            </w:pPr>
            <w:r>
              <w:rPr>
                <w:rFonts w:ascii="Arial" w:cs="Arial" w:eastAsia="Arial" w:hAnsi="Arial"/>
                <w:sz w:val="18"/>
                <w:szCs w:val="18"/>
                <w:color w:val="auto"/>
              </w:rPr>
              <w:t>Brokerage Account</w:t>
            </w:r>
          </w:p>
        </w:tc>
        <w:tc>
          <w:tcPr>
            <w:tcW w:w="1000" w:type="dxa"/>
            <w:vAlign w:val="bottom"/>
            <w:vMerge w:val="continue"/>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22,423,772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340" w:type="dxa"/>
            <w:vAlign w:val="bottom"/>
          </w:tcPr>
          <w:p>
            <w:pPr>
              <w:spacing w:after="0"/>
              <w:rPr>
                <w:sz w:val="7"/>
                <w:szCs w:val="7"/>
                <w:color w:val="auto"/>
              </w:rPr>
            </w:pPr>
          </w:p>
        </w:tc>
        <w:tc>
          <w:tcPr>
            <w:tcW w:w="546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340" w:type="dxa"/>
            <w:vAlign w:val="bottom"/>
            <w:tcBorders>
              <w:bottom w:val="single" w:sz="8" w:color="auto"/>
            </w:tcBorders>
          </w:tcPr>
          <w:p>
            <w:pPr>
              <w:spacing w:after="0"/>
              <w:rPr>
                <w:sz w:val="21"/>
                <w:szCs w:val="21"/>
                <w:color w:val="auto"/>
              </w:rPr>
            </w:pPr>
          </w:p>
        </w:tc>
        <w:tc>
          <w:tcPr>
            <w:tcW w:w="5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Columbia Trust Dividend Income Fund Institutional Class 300</w:t>
            </w:r>
          </w:p>
        </w:tc>
        <w:tc>
          <w:tcPr>
            <w:tcW w:w="3000" w:type="dxa"/>
            <w:vAlign w:val="bottom"/>
            <w:tcBorders>
              <w:bottom w:val="single" w:sz="8" w:color="auto"/>
            </w:tcBorders>
          </w:tcPr>
          <w:p>
            <w:pPr>
              <w:jc w:val="center"/>
              <w:ind w:left="131"/>
              <w:spacing w:after="0"/>
              <w:rPr>
                <w:sz w:val="20"/>
                <w:szCs w:val="20"/>
                <w:color w:val="auto"/>
              </w:rPr>
            </w:pPr>
            <w:r>
              <w:rPr>
                <w:rFonts w:ascii="Arial" w:cs="Arial" w:eastAsia="Arial" w:hAnsi="Arial"/>
                <w:sz w:val="18"/>
                <w:szCs w:val="18"/>
                <w:color w:val="auto"/>
                <w:w w:val="99"/>
              </w:rPr>
              <w:t>Common Collective Trust</w:t>
            </w:r>
          </w:p>
        </w:tc>
        <w:tc>
          <w:tcPr>
            <w:tcW w:w="1000" w:type="dxa"/>
            <w:vAlign w:val="bottom"/>
            <w:tcBorders>
              <w:bottom w:val="single" w:sz="8" w:color="auto"/>
            </w:tcBorders>
          </w:tcPr>
          <w:p>
            <w:pPr>
              <w:jc w:val="center"/>
              <w:ind w:right="41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8,122,031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340" w:type="dxa"/>
            <w:vAlign w:val="bottom"/>
          </w:tcPr>
          <w:p>
            <w:pPr>
              <w:spacing w:after="0"/>
              <w:rPr>
                <w:sz w:val="24"/>
                <w:szCs w:val="24"/>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Total investments</w:t>
            </w:r>
          </w:p>
        </w:tc>
        <w:tc>
          <w:tcPr>
            <w:tcW w:w="3000" w:type="dxa"/>
            <w:vAlign w:val="bottom"/>
            <w:vMerge w:val="restart"/>
          </w:tcPr>
          <w:p>
            <w:pPr>
              <w:jc w:val="center"/>
              <w:ind w:left="131"/>
              <w:spacing w:after="0"/>
              <w:rPr>
                <w:sz w:val="20"/>
                <w:szCs w:val="20"/>
                <w:color w:val="auto"/>
              </w:rPr>
            </w:pPr>
            <w:r>
              <w:rPr>
                <w:rFonts w:ascii="Arial" w:cs="Arial" w:eastAsia="Arial" w:hAnsi="Arial"/>
                <w:sz w:val="18"/>
                <w:szCs w:val="18"/>
                <w:color w:val="auto"/>
              </w:rPr>
              <w:t xml:space="preserve">Interest rates from </w:t>
            </w:r>
            <w:r>
              <w:rPr>
                <w:rFonts w:ascii="Times New Roman" w:cs="Times New Roman" w:eastAsia="Times New Roman" w:hAnsi="Times New Roman"/>
                <w:sz w:val="21"/>
                <w:szCs w:val="21"/>
                <w:color w:val="auto"/>
              </w:rPr>
              <w:t>3.25%</w:t>
            </w:r>
            <w:r>
              <w:rPr>
                <w:rFonts w:ascii="Arial" w:cs="Arial" w:eastAsia="Arial" w:hAnsi="Arial"/>
                <w:sz w:val="18"/>
                <w:szCs w:val="18"/>
                <w:color w:val="auto"/>
              </w:rPr>
              <w:t xml:space="preserve"> to</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604,934,206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30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460" w:type="dxa"/>
            <w:vAlign w:val="bottom"/>
          </w:tcPr>
          <w:p>
            <w:pPr>
              <w:ind w:left="160"/>
              <w:spacing w:after="0"/>
              <w:rPr>
                <w:sz w:val="20"/>
                <w:szCs w:val="20"/>
                <w:color w:val="auto"/>
              </w:rPr>
            </w:pPr>
            <w:r>
              <w:rPr>
                <w:rFonts w:ascii="Arial" w:cs="Arial" w:eastAsia="Arial" w:hAnsi="Arial"/>
                <w:sz w:val="18"/>
                <w:szCs w:val="18"/>
                <w:color w:val="auto"/>
              </w:rPr>
              <w:t>Participant loans</w:t>
            </w:r>
          </w:p>
        </w:tc>
        <w:tc>
          <w:tcPr>
            <w:tcW w:w="3000" w:type="dxa"/>
            <w:vAlign w:val="bottom"/>
          </w:tcPr>
          <w:p>
            <w:pPr>
              <w:jc w:val="center"/>
              <w:ind w:left="131"/>
              <w:spacing w:after="0"/>
              <w:rPr>
                <w:sz w:val="20"/>
                <w:szCs w:val="20"/>
                <w:color w:val="auto"/>
              </w:rPr>
            </w:pPr>
            <w:r>
              <w:rPr>
                <w:rFonts w:ascii="Times New Roman" w:cs="Times New Roman" w:eastAsia="Times New Roman" w:hAnsi="Times New Roman"/>
                <w:sz w:val="22"/>
                <w:szCs w:val="22"/>
                <w:color w:val="auto"/>
              </w:rPr>
              <w:t>8.50%</w:t>
            </w:r>
            <w:r>
              <w:rPr>
                <w:rFonts w:ascii="Arial" w:cs="Arial" w:eastAsia="Arial" w:hAnsi="Arial"/>
                <w:sz w:val="17"/>
                <w:szCs w:val="17"/>
                <w:color w:val="auto"/>
              </w:rPr>
              <w:t>, maturing through</w:t>
            </w:r>
          </w:p>
        </w:tc>
        <w:tc>
          <w:tcPr>
            <w:tcW w:w="1000" w:type="dxa"/>
            <w:vAlign w:val="bottom"/>
          </w:tcPr>
          <w:p>
            <w:pPr>
              <w:jc w:val="center"/>
              <w:ind w:right="413"/>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1,617,395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3000" w:type="dxa"/>
            <w:vAlign w:val="bottom"/>
          </w:tcPr>
          <w:p>
            <w:pPr>
              <w:jc w:val="center"/>
              <w:ind w:left="131"/>
              <w:spacing w:after="0" w:line="122" w:lineRule="exact"/>
              <w:rPr>
                <w:sz w:val="20"/>
                <w:szCs w:val="20"/>
                <w:color w:val="auto"/>
              </w:rPr>
            </w:pPr>
            <w:r>
              <w:rPr>
                <w:rFonts w:ascii="Arial" w:cs="Arial" w:eastAsia="Arial" w:hAnsi="Arial"/>
                <w:sz w:val="13"/>
                <w:szCs w:val="13"/>
                <w:color w:val="auto"/>
              </w:rPr>
              <w:t>2030 and collateralized by the</w:t>
            </w: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34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rPr>
              <w:t>participant's account balance</w:t>
            </w:r>
          </w:p>
        </w:tc>
        <w:tc>
          <w:tcPr>
            <w:tcW w:w="10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3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3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606,551,601</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 party-in-interest as defined by ERISA.</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 Cost is not required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0" w:right="479" w:bottom="1440" w:gutter="0" w:footer="0" w:header="0"/>
        </w:sectPr>
      </w:pPr>
    </w:p>
    <w:bookmarkStart w:id="16" w:name="page17"/>
    <w:bookmarkEnd w:id="16"/>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34"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Pursuant to the requirements of the Securities Exchange Act of 1934, the trustees (or other persons who administer the Plan) have duly caused this Annual Report to be signed on its behalf by the undersigned hereunto duly authorized</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0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20" w:type="dxa"/>
            <w:vAlign w:val="bottom"/>
          </w:tcPr>
          <w:p>
            <w:pPr>
              <w:ind w:left="20"/>
              <w:spacing w:after="0"/>
              <w:rPr>
                <w:sz w:val="20"/>
                <w:szCs w:val="20"/>
                <w:color w:val="auto"/>
              </w:rPr>
            </w:pPr>
            <w:r>
              <w:rPr>
                <w:rFonts w:ascii="Arial" w:cs="Arial" w:eastAsia="Arial" w:hAnsi="Arial"/>
                <w:sz w:val="19"/>
                <w:szCs w:val="19"/>
                <w:b w:val="1"/>
                <w:bCs w:val="1"/>
                <w:color w:val="auto"/>
              </w:rPr>
              <w:t>STMicroelectronics, Inc.</w:t>
            </w:r>
          </w:p>
        </w:tc>
      </w:tr>
      <w:tr>
        <w:trPr>
          <w:trHeight w:val="259"/>
        </w:trPr>
        <w:tc>
          <w:tcPr>
            <w:tcW w:w="30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020" w:type="dxa"/>
            <w:vAlign w:val="bottom"/>
          </w:tcPr>
          <w:p>
            <w:pPr>
              <w:ind w:left="20"/>
              <w:spacing w:after="0"/>
              <w:rPr>
                <w:sz w:val="20"/>
                <w:szCs w:val="20"/>
                <w:color w:val="auto"/>
              </w:rPr>
            </w:pPr>
            <w:r>
              <w:rPr>
                <w:rFonts w:ascii="Arial" w:cs="Arial" w:eastAsia="Arial" w:hAnsi="Arial"/>
                <w:sz w:val="19"/>
                <w:szCs w:val="19"/>
                <w:b w:val="1"/>
                <w:bCs w:val="1"/>
                <w:color w:val="auto"/>
              </w:rPr>
              <w:t>401(k) Savings Plan</w:t>
            </w:r>
          </w:p>
        </w:tc>
      </w:tr>
      <w:tr>
        <w:trPr>
          <w:trHeight w:val="497"/>
        </w:trPr>
        <w:tc>
          <w:tcPr>
            <w:tcW w:w="3000" w:type="dxa"/>
            <w:vAlign w:val="bottom"/>
          </w:tcPr>
          <w:p>
            <w:pPr>
              <w:spacing w:after="0"/>
              <w:rPr>
                <w:sz w:val="20"/>
                <w:szCs w:val="20"/>
                <w:color w:val="auto"/>
              </w:rPr>
            </w:pPr>
            <w:r>
              <w:rPr>
                <w:rFonts w:ascii="Arial" w:cs="Arial" w:eastAsia="Arial" w:hAnsi="Arial"/>
                <w:sz w:val="19"/>
                <w:szCs w:val="19"/>
                <w:color w:val="auto"/>
              </w:rPr>
              <w:t>Date: June 4, 2026</w:t>
            </w:r>
          </w:p>
        </w:tc>
        <w:tc>
          <w:tcPr>
            <w:tcW w:w="1700" w:type="dxa"/>
            <w:vAlign w:val="bottom"/>
          </w:tcPr>
          <w:p>
            <w:pPr>
              <w:ind w:left="1400"/>
              <w:spacing w:after="0"/>
              <w:rPr>
                <w:sz w:val="20"/>
                <w:szCs w:val="20"/>
                <w:color w:val="auto"/>
              </w:rPr>
            </w:pPr>
            <w:r>
              <w:rPr>
                <w:rFonts w:ascii="Arial" w:cs="Arial" w:eastAsia="Arial" w:hAnsi="Arial"/>
                <w:sz w:val="19"/>
                <w:szCs w:val="19"/>
                <w:color w:val="auto"/>
              </w:rPr>
              <w:t>By:</w:t>
            </w:r>
          </w:p>
        </w:tc>
        <w:tc>
          <w:tcPr>
            <w:tcW w:w="60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/s/ Carol Gomez</w:t>
            </w:r>
          </w:p>
        </w:tc>
      </w:tr>
      <w:tr>
        <w:trPr>
          <w:trHeight w:val="236"/>
        </w:trPr>
        <w:tc>
          <w:tcPr>
            <w:tcW w:w="3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9"/>
                <w:szCs w:val="19"/>
                <w:color w:val="auto"/>
                <w:w w:val="98"/>
              </w:rPr>
              <w:t>Carol Gomez</w:t>
            </w:r>
          </w:p>
        </w:tc>
      </w:tr>
      <w:tr>
        <w:trPr>
          <w:trHeight w:val="249"/>
        </w:trPr>
        <w:tc>
          <w:tcPr>
            <w:tcW w:w="30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20" w:type="dxa"/>
            <w:vAlign w:val="bottom"/>
          </w:tcPr>
          <w:p>
            <w:pPr>
              <w:jc w:val="center"/>
              <w:spacing w:after="0"/>
              <w:rPr>
                <w:sz w:val="20"/>
                <w:szCs w:val="20"/>
                <w:color w:val="auto"/>
              </w:rPr>
            </w:pPr>
            <w:r>
              <w:rPr>
                <w:rFonts w:ascii="Arial" w:cs="Arial" w:eastAsia="Arial" w:hAnsi="Arial"/>
                <w:sz w:val="19"/>
                <w:szCs w:val="19"/>
                <w:color w:val="auto"/>
                <w:w w:val="99"/>
              </w:rPr>
              <w:t>Vice President, Human Resources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left="4440"/>
        <w:spacing w:after="0"/>
        <w:rPr>
          <w:sz w:val="20"/>
          <w:szCs w:val="20"/>
          <w:color w:val="auto"/>
        </w:rPr>
      </w:pPr>
      <w:r>
        <w:rPr>
          <w:rFonts w:ascii="Arial" w:cs="Arial" w:eastAsia="Arial" w:hAnsi="Arial"/>
          <w:sz w:val="21"/>
          <w:szCs w:val="21"/>
          <w:b w:val="1"/>
          <w:bCs w:val="1"/>
          <w:color w:val="auto"/>
        </w:rPr>
        <w:t>Exhibit Index</w:t>
      </w:r>
    </w:p>
    <w:p>
      <w:pPr>
        <w:sectPr>
          <w:pgSz w:w="11900" w:h="16838" w:orient="portrait"/>
          <w:cols w:equalWidth="0" w:num="1">
            <w:col w:w="9619"/>
          </w:cols>
          <w:pgMar w:left="840" w:top="1394" w:right="1440" w:bottom="1440" w:gutter="0" w:footer="0" w:header="0"/>
        </w:sect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Number</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Exhibit Description</w:t>
      </w:r>
    </w:p>
    <w:p>
      <w:pPr>
        <w:spacing w:after="0" w:line="41" w:lineRule="exact"/>
        <w:rPr>
          <w:sz w:val="20"/>
          <w:szCs w:val="20"/>
          <w:color w:val="auto"/>
        </w:rPr>
      </w:pPr>
    </w:p>
    <w:p>
      <w:pPr>
        <w:sectPr>
          <w:pgSz w:w="11900" w:h="16838" w:orient="portrait"/>
          <w:cols w:equalWidth="0" w:num="2">
            <w:col w:w="1640" w:space="720"/>
            <w:col w:w="7259"/>
          </w:cols>
          <w:pgMar w:left="840" w:top="1394" w:right="1440" w:bottom="1440" w:gutter="0" w:footer="0" w:header="0"/>
          <w:type w:val="continuous"/>
        </w:sectPr>
      </w:pPr>
    </w:p>
    <w:p>
      <w:pPr>
        <w:ind w:left="520"/>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ectPr>
          <w:pgSz w:w="11900" w:h="16838" w:orient="portrait"/>
          <w:cols w:equalWidth="0" w:num="2">
            <w:col w:w="1640" w:space="720"/>
            <w:col w:w="7259"/>
          </w:cols>
          <w:pgMar w:left="840" w:top="139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80"/>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9619"/>
          </w:cols>
          <w:pgMar w:left="840" w:top="1394" w:right="1440"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STMicroelectronics, Inc. 401(k) Savings Plan</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Coppell, Texas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hereby consent to the incorporation by reference in the Registration Statement on Form S-8 (File No. 333-6390) of STMicroelectronics N.V. of our report dated June 4, 2026, relating to the financial statements and supplemental schedule of the STMicroelectronics, Inc. 401(k) Savings Plan which appear in this Form 11-K for the year ended December 31, 2025.</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 BDO USA, P.C</w:t>
      </w: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Denver, Colorado</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June 4, 2026</w:t>
      </w:r>
    </w:p>
    <w:sectPr>
      <w:pgSz w:w="11900" w:h="16838" w:orient="portrait"/>
      <w:cols w:equalWidth="0" w:num="1">
        <w:col w:w="11240"/>
      </w:cols>
      <w:pgMar w:left="320" w:top="14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lvl w:ilvl="1">
      <w:lvlJc w:val="left"/>
      <w:lvlText w:val="%2."/>
      <w:numFmt w:val="upperLetter"/>
      <w:start w:val="1"/>
    </w:lvl>
  </w:abstractNum>
  <w:abstractNum w:abstractNumId="2">
    <w:nsid w:val="4DB127F8"/>
    <w:multiLevelType w:val="hybridMultilevel"/>
    <w:lvl w:ilvl="0">
      <w:lvlJc w:val="left"/>
      <w:lvlText w:val="%1."/>
      <w:numFmt w:val="upperLetter"/>
      <w:start w:val="2"/>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Roman"/>
      <w:start w:val="3"/>
    </w:lvl>
  </w:abstractNum>
  <w:abstractNum w:abstractNumId="7">
    <w:nsid w:val="140E0F76"/>
    <w:multiLevelType w:val="hybridMultilevel"/>
    <w:lvl w:ilvl="0">
      <w:lvlJc w:val="left"/>
      <w:lvlText w:val="%1."/>
      <w:numFmt w:val="decimal"/>
      <w:start w:val="2"/>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1."/>
      <w:numFmt w:val="decimal"/>
      <w:start w:val="4"/>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5"/>
    </w:lvl>
  </w:abstractNum>
  <w:abstractNum w:abstractNumId="13">
    <w:nsid w:val="41A7C4C9"/>
    <w:multiLevelType w:val="hybridMultilevel"/>
    <w:lvl w:ilvl="0">
      <w:lvlJc w:val="left"/>
      <w:lvlText w:val="%1."/>
      <w:numFmt w:val="decimal"/>
      <w:start w:val="6"/>
    </w:lvl>
  </w:abstractNum>
  <w:abstractNum w:abstractNumId="14">
    <w:nsid w:val="6B68079A"/>
    <w:multiLevelType w:val="hybridMultilevel"/>
    <w:lvl w:ilvl="0">
      <w:lvlJc w:val="left"/>
      <w:lvlText w:val="%1."/>
      <w:numFmt w:val="decimal"/>
      <w:start w:val="7"/>
    </w:lvl>
  </w:abstractNum>
  <w:abstractNum w:abstractNumId="15">
    <w:nsid w:val="4E6AFB66"/>
    <w:multiLevelType w:val="hybridMultilevel"/>
    <w:lvl w:ilvl="0">
      <w:lvlJc w:val="left"/>
      <w:lvlText w:val="%1."/>
      <w:numFmt w:val="decimal"/>
      <w:start w:val="8"/>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2026-06-04T10:18:42Z</dcterms:created>
  <dcterms:modified xsi:type="dcterms:W3CDTF">2026-06-04T10:18:42Z</dcterms:modified>
</cp:coreProperties>
</file>