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UNITED  STATES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4050" cy="68453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6845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5pt;height:53.9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AND 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Washington, D.C. 20549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>FORM 6-K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REPORT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FOREIGN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PRIVATE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ISSUER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PURSUANT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RULE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13a-16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15d-16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UNDER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THE 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ACT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1934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For the month of July, 2026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 File Number: 1-13546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  <w:t>STMicroelectronics N.V.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(Name of Registrant)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WTC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Schiphol Boulevard 265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1118 BH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The Netherlands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(Address of Principal Executive Offices)</w:t>
      </w:r>
    </w:p>
    <w:p>
      <w:pPr>
        <w:pStyle w:val="TextBody"/>
        <w:bidi w:val="0"/>
        <w:spacing w:lineRule="atLeast" w:line="18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Form 20-F </w:t>
      </w:r>
      <w:r>
        <w:rPr>
          <w:rFonts w:ascii="Wingdings 2;sans-serif" w:hAnsi="Wingdings 2;sans-serif"/>
          <w:b w:val="false"/>
          <w:i w:val="false"/>
          <w:caps w:val="false"/>
          <w:smallCaps w:val="false"/>
          <w:sz w:val="24"/>
          <w:shd w:fill="E4E4E4" w:val="clear"/>
        </w:rPr>
        <w:t>Q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         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Form 40-F 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☐</w: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2610" cy="146685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26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Indicate by check mark whether the registrant files or will file annual reports under cover of Form 20-F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3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Indicate by check mark whether the registrant files or will file annual reports under cover of Form 20-F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81660" cy="293370"/>
                <wp:effectExtent l="0" t="0" r="0" b="0"/>
                <wp:wrapNone/>
                <wp:docPr id="4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6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Form 40-F: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8pt;height:23.1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Form 40-F: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562850" cy="1699895"/>
            <wp:effectExtent l="0" t="0" r="0" b="0"/>
            <wp:docPr id="5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2610" cy="146685"/>
                <wp:effectExtent l="0" t="0" r="0" b="0"/>
                <wp:wrapNone/>
                <wp:docPr id="6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26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Enclosure: A press release dated July 20, 2026, announcing the results of trading in STMicroelectronics' own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3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Enclosure: A press release dated July 20, 2026, announcing the results of trading in STMicroelectronics' own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1340" cy="146685"/>
                <wp:effectExtent l="0" t="0" r="0" b="0"/>
                <wp:wrapNone/>
                <wp:docPr id="8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134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as part of the previously announced share buy-back program for the period from July, 13, 2026, to July,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2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as part of the previously announced share buy-back program for the period from July, 13, 2026, to July,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6645910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476250" cy="146685"/>
                <wp:effectExtent l="0" t="0" r="0" b="0"/>
                <wp:wrapNone/>
                <wp:docPr id="10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17, 2026.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17, 2026.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STMicroelectronics announces status</w: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819785" cy="292100"/>
                <wp:effectExtent l="0" t="0" r="0" b="0"/>
                <wp:wrapNone/>
                <wp:docPr id="11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78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 N°C3402C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5pt;height:23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 N°C3402C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of common share repurchase program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/>
          <w:sz w:val="20"/>
          <w:shd w:fill="E4E4E4" w:val="clear"/>
        </w:rPr>
      </w:pPr>
      <w:r>
        <w:rPr>
          <w:rFonts w:ascii="Arial;sans-serif" w:hAnsi="Arial;sans-serif"/>
          <w:b/>
          <w:i/>
          <w:sz w:val="20"/>
          <w:shd w:fill="E4E4E4" w:val="clear"/>
        </w:rPr>
        <w:t>Disclosure of Transactions in Own Shares – Period from July 13, 2026 to July 17, 2026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4"/>
          <w:shd w:fill="E4E4E4" w:val="clear"/>
        </w:rPr>
        <w:t>AMSTERDAM – July 20, 2026</w:t>
      </w:r>
      <w:r>
        <w:rPr>
          <w:rFonts w:ascii="Arial;sans-serif" w:hAnsi="Arial;sans-serif"/>
          <w:shd w:fill="E4E4E4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-- STMicroelectronics N.V. (the “Company” or </w:t>
      </w:r>
    </w:p>
    <w:p>
      <w:pPr>
        <w:pStyle w:val="TextBody"/>
        <w:bidi w:val="0"/>
        <w:spacing w:lineRule="atLeast" w:line="175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STMicroelectronics”), a global semiconductor leader serving customers across the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spectrum of electronics applications, announces full details of its common share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repurchase program (the “Program”) disclosed via a press release dated June 21,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2024. The Program was approved by a shareholder resolution dated May 22, 2024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and by the supervisory board.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STMicroelectronics N.V. (registered with the trade register under number 33194537)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(LEI: 213800Z8NOHIKRI42W10) announces the repurchase (by a broker acting for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the Company) on the regulated market of Euronext Paris, in the period between July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13, 2026 to July 17, 2026 (the “Period”), of  199,413 ordinary shares (equal to 0.02%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of its issued share capital) at the weighted average purchase price per share of EUR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57.2549 and for an overall price of EUR                                                                                                                                          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11,417,364.55.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The purpose of these transactions under article 5(2) of Regulation (EU) 596/2014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(the Market Abuse Regulation) was to meet obligations arising from share option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programmes, or other allocations of shares, to employees or to members of the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administrative, management or supervisory bodies of the issuer or of an associate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company.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The shares may be held in treasury prior to being used for such purpose and, to the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extent that they are not ultimately needed for such purpose, they may be used for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any other lawful purpose under article 5(2) of the Market Abuse Regulation.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Below is a summary of the repurchase transactions made in the course of the Period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relation to the ordinary shares of STMicroelectronics (ISIN: NL0000226223), in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detailed form.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accordance with Article 5(1)(b) of the Market Abuse Regulation and Article 2(3) of </w: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642110" cy="350520"/>
                <wp:effectExtent l="0" t="0" r="0" b="0"/>
                <wp:wrapNone/>
                <wp:docPr id="12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21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Transactions in Period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>Transactions in Period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2181860"/>
                <wp:effectExtent l="0" t="0" r="0" b="0"/>
                <wp:wrapNone/>
                <wp:docPr id="13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2181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55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021"/>
                              <w:gridCol w:w="1526"/>
                              <w:gridCol w:w="2006"/>
                              <w:gridCol w:w="1841"/>
                              <w:gridCol w:w="2156"/>
                            </w:tblGrid>
                            <w:tr>
                              <w:trPr/>
                              <w:tc>
                                <w:tcPr>
                                  <w:tcW w:w="20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13-Jul-26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14-Jul-26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15-Jul-26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16-Jul-26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17-Jul-26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Total for Period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71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955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021"/>
                        <w:gridCol w:w="1526"/>
                        <w:gridCol w:w="2006"/>
                        <w:gridCol w:w="1841"/>
                        <w:gridCol w:w="2156"/>
                      </w:tblGrid>
                      <w:tr>
                        <w:trPr/>
                        <w:tc>
                          <w:tcPr>
                            <w:tcW w:w="20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13-Jul-26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14-Jul-26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15-Jul-26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16-Jul-26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17-Jul-26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Total for Period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350520"/>
                <wp:effectExtent l="0" t="0" r="0" b="0"/>
                <wp:wrapNone/>
                <wp:docPr id="14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Following the share buybacks detailed above, the Company holds in total 19,177,711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Following the share buybacks detailed above, the Company holds in total 19,177,711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5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16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treasury shares, which represents approximately 2.1% of the Company’s issued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treasury shares, which represents approximately 2.1% of the Company’s issued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7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05510" cy="350520"/>
                <wp:effectExtent l="0" t="0" r="0" b="0"/>
                <wp:wrapNone/>
                <wp:docPr id="18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5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share capital.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share capital.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1219200" cy="350520"/>
                <wp:effectExtent l="0" t="0" r="0" b="0"/>
                <wp:wrapNone/>
                <wp:docPr id="19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Dates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transaction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27.6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Dates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transaction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1219200</wp:posOffset>
                </wp:positionH>
                <wp:positionV relativeFrom="line">
                  <wp:posOffset>635</wp:posOffset>
                </wp:positionV>
                <wp:extent cx="914400" cy="525780"/>
                <wp:effectExtent l="0" t="0" r="0" b="0"/>
                <wp:wrapNone/>
                <wp:docPr id="20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257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Number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shares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purchased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41.4pt;mso-wrap-distance-left:0pt;mso-wrap-distance-right:0pt;mso-wrap-distance-top:0pt;mso-wrap-distance-bottom:0pt;margin-top:0pt;mso-position-vertical:top;mso-position-vertical-relative:text;margin-left: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Number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shares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purchased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2133600</wp:posOffset>
                </wp:positionH>
                <wp:positionV relativeFrom="line">
                  <wp:posOffset>635</wp:posOffset>
                </wp:positionV>
                <wp:extent cx="1219200" cy="876300"/>
                <wp:effectExtent l="0" t="0" r="0" b="0"/>
                <wp:wrapNone/>
                <wp:docPr id="21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8763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Weighted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average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purchase price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per share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69pt;mso-wrap-distance-left:0pt;mso-wrap-distance-right:0pt;mso-wrap-distance-top:0pt;mso-wrap-distance-bottom:0pt;margin-top:0pt;mso-position-vertical:top;mso-position-vertical-relative:text;margin-left:1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Weighted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average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purchase price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per share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3352800</wp:posOffset>
                </wp:positionH>
                <wp:positionV relativeFrom="line">
                  <wp:posOffset>635</wp:posOffset>
                </wp:positionV>
                <wp:extent cx="1114425" cy="350520"/>
                <wp:effectExtent l="0" t="0" r="0" b="0"/>
                <wp:wrapNone/>
                <wp:docPr id="22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Total amount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paid 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27.6pt;mso-wrap-distance-left:0pt;mso-wrap-distance-right:0pt;mso-wrap-distance-top:0pt;mso-wrap-distance-bottom:0pt;margin-top:0pt;mso-position-vertical:top;mso-position-vertical-relative:text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Total amount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paid 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4467225</wp:posOffset>
                </wp:positionH>
                <wp:positionV relativeFrom="line">
                  <wp:posOffset>635</wp:posOffset>
                </wp:positionV>
                <wp:extent cx="1285875" cy="876300"/>
                <wp:effectExtent l="0" t="0" r="0" b="0"/>
                <wp:wrapNone/>
                <wp:docPr id="23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8763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Market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which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shares were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bought (MIC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code)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1.25pt;height:69pt;mso-wrap-distance-left:0pt;mso-wrap-distance-right:0pt;mso-wrap-distance-top:0pt;mso-wrap-distance-bottom:0pt;margin-top:0pt;mso-position-vertical:top;mso-position-vertical-relative:text;margin-left:3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Market on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which the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shares were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bought (MIC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code)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Commission Delegated Regulation (EU) 2016/1052, a full breakdown of the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individual trades in the Program are disclosed on the ST website (https://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investors.st.com/stock-and-bond-information/share-buyback).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About STMicroelectronics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At ST, we are 49,000 creators and makers of semiconductor technologies mastering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the semiconductor supply chain with state-of-the-art manufacturing facilities. An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integrated device manufacturer, we work with more than 200,000 customers and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thousands of partners to design and build products, solutions, and ecosystems that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address their challenges and opportunities, and the need to support a more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sustainable world. Our technologies enable smarter mobility, more efficient power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and energy management, and the wide-scale deployment of cloud-connected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autonomous things. We are on track to be carbon neutral in all direct and indirect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emissions (scopes 1 and 2), product transportation, business travel, and employee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commuting emissions (our scope 3 focus), and to achieve our 100% renewable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electricity sourcing goal by the end of 2027. Further information can be found 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www.st.com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For more information, please contact: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INVESTOR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Jérôme Ramel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EVP Corporate Development &amp; Integrated External Communication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+41.22.929.59.20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jerome.ramel@st.com    </w:t>
      </w:r>
    </w:p>
    <w:p>
      <w:pPr>
        <w:pStyle w:val="TextBody"/>
        <w:bidi w:val="0"/>
        <w:spacing w:lineRule="atLeast" w:line="175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MEDIA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Alexis Breton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Group VP Corporate External Communications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+33.6.59.16.79.08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alexis.breton@st.com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SIGNATURES</w: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46685"/>
                <wp:effectExtent l="0" t="0" r="0" b="0"/>
                <wp:wrapNone/>
                <wp:docPr id="24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Pursuant to the requirements of the Securities Exchange Act of 1934, the registrant has duly caused this report to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Pursuant to the requirements of the Securities Exchange Act of 1934, the registrant has duly caused this report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538220" cy="293370"/>
                <wp:effectExtent l="0" t="0" r="0" b="0"/>
                <wp:wrapNone/>
                <wp:docPr id="26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82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be signed on its behalf by the undersigned, thereunto duly authorized.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8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be signed on its behalf by the undersigned, thereunto duly authorized.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1886585"/>
                <wp:effectExtent l="0" t="0" r="0" b="0"/>
                <wp:wrapNone/>
                <wp:docPr id="27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8865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04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601"/>
                              <w:gridCol w:w="109"/>
                              <w:gridCol w:w="109"/>
                              <w:gridCol w:w="3221"/>
                            </w:tblGrid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Date: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48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404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601"/>
                        <w:gridCol w:w="109"/>
                        <w:gridCol w:w="109"/>
                        <w:gridCol w:w="3221"/>
                      </w:tblGrid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Date: 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3790950</wp:posOffset>
                </wp:positionH>
                <wp:positionV relativeFrom="line">
                  <wp:posOffset>635</wp:posOffset>
                </wp:positionV>
                <wp:extent cx="1962150" cy="146685"/>
                <wp:effectExtent l="0" t="0" r="0" b="0"/>
                <wp:wrapNone/>
                <wp:docPr id="28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STMicroelectronics N.V.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4.5pt;height:11.55pt;mso-wrap-distance-left:0pt;mso-wrap-distance-right:0pt;mso-wrap-distance-top:0pt;mso-wrap-distance-bottom:0pt;margin-top:0pt;mso-position-vertical:top;mso-position-vertical-relative:text;margin-left:29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STMicroelectronics N.V.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  <w:font w:name="Wingdings 2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740</Words>
  <Characters>4501</Characters>
  <CharactersWithSpaces>5339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