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64135</wp:posOffset>
            </wp:positionV>
            <wp:extent cx="1800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80" w:lineRule="exact"/>
        <w:rPr>
          <w:sz w:val="24"/>
          <w:szCs w:val="24"/>
          <w:color w:val="auto"/>
        </w:rPr>
      </w:pPr>
    </w:p>
    <w:tbl>
      <w:tblPr>
        <w:tblLayout w:type="fixed"/>
        <w:tblInd w:w="1940" w:type="dxa"/>
        <w:tblCellMar>
          <w:top w:w="0" w:type="dxa"/>
          <w:left w:w="0" w:type="dxa"/>
          <w:bottom w:w="0" w:type="dxa"/>
          <w:right w:w="0" w:type="dxa"/>
        </w:tblCellMar>
      </w:tblPr>
      <w:tr>
        <w:trPr>
          <w:trHeight w:val="257"/>
        </w:trPr>
        <w:tc>
          <w:tcPr>
            <w:tcW w:w="2260" w:type="dxa"/>
            <w:vAlign w:val="bottom"/>
          </w:tcPr>
          <w:p>
            <w:pPr>
              <w:spacing w:after="0"/>
              <w:rPr>
                <w:sz w:val="22"/>
                <w:szCs w:val="22"/>
                <w:color w:val="auto"/>
              </w:rPr>
            </w:pPr>
          </w:p>
        </w:tc>
        <w:tc>
          <w:tcPr>
            <w:tcW w:w="5000" w:type="dxa"/>
            <w:vAlign w:val="bottom"/>
            <w:gridSpan w:val="2"/>
          </w:tcPr>
          <w:p>
            <w:pPr>
              <w:jc w:val="center"/>
              <w:ind w:right="1702"/>
              <w:spacing w:after="0"/>
              <w:rPr>
                <w:sz w:val="20"/>
                <w:szCs w:val="20"/>
                <w:color w:val="auto"/>
              </w:rPr>
            </w:pPr>
            <w:r>
              <w:rPr>
                <w:rFonts w:ascii="Times New Roman" w:cs="Times New Roman" w:eastAsia="Times New Roman" w:hAnsi="Times New Roman"/>
                <w:sz w:val="22"/>
                <w:szCs w:val="22"/>
                <w:b w:val="1"/>
                <w:bCs w:val="1"/>
                <w:color w:val="auto"/>
                <w:w w:val="97"/>
              </w:rPr>
              <w:t>FORM F-3</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000" w:type="dxa"/>
            <w:vAlign w:val="bottom"/>
            <w:gridSpan w:val="2"/>
          </w:tcPr>
          <w:p>
            <w:pPr>
              <w:jc w:val="center"/>
              <w:ind w:right="1682"/>
              <w:spacing w:after="0" w:line="243" w:lineRule="exact"/>
              <w:rPr>
                <w:sz w:val="20"/>
                <w:szCs w:val="20"/>
                <w:color w:val="auto"/>
              </w:rPr>
            </w:pPr>
            <w:r>
              <w:rPr>
                <w:rFonts w:ascii="Times New Roman" w:cs="Times New Roman" w:eastAsia="Times New Roman" w:hAnsi="Times New Roman"/>
                <w:sz w:val="22"/>
                <w:szCs w:val="22"/>
                <w:b w:val="1"/>
                <w:bCs w:val="1"/>
                <w:color w:val="auto"/>
                <w:w w:val="96"/>
              </w:rPr>
              <w:t>REGISTRATION STATEMENT</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000" w:type="dxa"/>
            <w:vAlign w:val="bottom"/>
            <w:gridSpan w:val="2"/>
          </w:tcPr>
          <w:p>
            <w:pPr>
              <w:jc w:val="center"/>
              <w:ind w:right="1682"/>
              <w:spacing w:after="0" w:line="243" w:lineRule="exact"/>
              <w:rPr>
                <w:sz w:val="20"/>
                <w:szCs w:val="20"/>
                <w:color w:val="auto"/>
              </w:rPr>
            </w:pPr>
            <w:r>
              <w:rPr>
                <w:rFonts w:ascii="Times New Roman" w:cs="Times New Roman" w:eastAsia="Times New Roman" w:hAnsi="Times New Roman"/>
                <w:sz w:val="22"/>
                <w:szCs w:val="22"/>
                <w:b w:val="1"/>
                <w:bCs w:val="1"/>
                <w:color w:val="auto"/>
                <w:w w:val="97"/>
              </w:rPr>
              <w:t>UNDER</w:t>
            </w:r>
          </w:p>
        </w:tc>
        <w:tc>
          <w:tcPr>
            <w:tcW w:w="0" w:type="dxa"/>
            <w:vAlign w:val="bottom"/>
          </w:tcPr>
          <w:p>
            <w:pPr>
              <w:spacing w:after="0"/>
              <w:rPr>
                <w:sz w:val="1"/>
                <w:szCs w:val="1"/>
                <w:color w:val="auto"/>
              </w:rPr>
            </w:pPr>
          </w:p>
        </w:tc>
      </w:tr>
      <w:tr>
        <w:trPr>
          <w:trHeight w:val="286"/>
        </w:trPr>
        <w:tc>
          <w:tcPr>
            <w:tcW w:w="2260" w:type="dxa"/>
            <w:vAlign w:val="bottom"/>
          </w:tcPr>
          <w:p>
            <w:pPr>
              <w:spacing w:after="0"/>
              <w:rPr>
                <w:sz w:val="24"/>
                <w:szCs w:val="24"/>
                <w:color w:val="auto"/>
              </w:rPr>
            </w:pPr>
          </w:p>
        </w:tc>
        <w:tc>
          <w:tcPr>
            <w:tcW w:w="5000" w:type="dxa"/>
            <w:vAlign w:val="bottom"/>
            <w:gridSpan w:val="2"/>
          </w:tcPr>
          <w:p>
            <w:pPr>
              <w:jc w:val="center"/>
              <w:ind w:right="1682"/>
              <w:spacing w:after="0"/>
              <w:rPr>
                <w:sz w:val="20"/>
                <w:szCs w:val="20"/>
                <w:color w:val="auto"/>
              </w:rPr>
            </w:pPr>
            <w:r>
              <w:rPr>
                <w:rFonts w:ascii="Times New Roman" w:cs="Times New Roman" w:eastAsia="Times New Roman" w:hAnsi="Times New Roman"/>
                <w:sz w:val="22"/>
                <w:szCs w:val="22"/>
                <w:b w:val="1"/>
                <w:bCs w:val="1"/>
                <w:color w:val="auto"/>
                <w:w w:val="97"/>
              </w:rPr>
              <w:t>THE SECURITIES ACT OF 1933</w:t>
            </w:r>
          </w:p>
        </w:tc>
        <w:tc>
          <w:tcPr>
            <w:tcW w:w="0" w:type="dxa"/>
            <w:vAlign w:val="bottom"/>
          </w:tcPr>
          <w:p>
            <w:pPr>
              <w:spacing w:after="0"/>
              <w:rPr>
                <w:sz w:val="1"/>
                <w:szCs w:val="1"/>
                <w:color w:val="auto"/>
              </w:rPr>
            </w:pPr>
          </w:p>
        </w:tc>
      </w:tr>
      <w:tr>
        <w:trPr>
          <w:trHeight w:val="110"/>
        </w:trPr>
        <w:tc>
          <w:tcPr>
            <w:tcW w:w="226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260" w:type="dxa"/>
            <w:vAlign w:val="bottom"/>
          </w:tcPr>
          <w:p>
            <w:pPr>
              <w:spacing w:after="0"/>
              <w:rPr>
                <w:sz w:val="24"/>
                <w:szCs w:val="24"/>
                <w:color w:val="auto"/>
              </w:rPr>
            </w:pPr>
          </w:p>
        </w:tc>
        <w:tc>
          <w:tcPr>
            <w:tcW w:w="5000" w:type="dxa"/>
            <w:vAlign w:val="bottom"/>
            <w:gridSpan w:val="2"/>
          </w:tcPr>
          <w:p>
            <w:pPr>
              <w:jc w:val="center"/>
              <w:ind w:right="1682"/>
              <w:spacing w:after="0"/>
              <w:rPr>
                <w:sz w:val="20"/>
                <w:szCs w:val="20"/>
                <w:color w:val="auto"/>
              </w:rPr>
            </w:pPr>
            <w:r>
              <w:rPr>
                <w:rFonts w:ascii="Times New Roman" w:cs="Times New Roman" w:eastAsia="Times New Roman" w:hAnsi="Times New Roman"/>
                <w:sz w:val="22"/>
                <w:szCs w:val="22"/>
                <w:b w:val="1"/>
                <w:bCs w:val="1"/>
                <w:color w:val="auto"/>
                <w:w w:val="96"/>
              </w:rPr>
              <w:t>STMicroelectronics N.V.</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5000" w:type="dxa"/>
            <w:vAlign w:val="bottom"/>
            <w:gridSpan w:val="2"/>
          </w:tcPr>
          <w:p>
            <w:pPr>
              <w:jc w:val="center"/>
              <w:ind w:right="168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105"/>
        </w:trPr>
        <w:tc>
          <w:tcPr>
            <w:tcW w:w="22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2840" w:type="dxa"/>
            <w:vAlign w:val="bottom"/>
            <w:tcBorders>
              <w:bottom w:val="single" w:sz="8" w:color="808080"/>
            </w:tcBorders>
          </w:tcPr>
          <w:p>
            <w:pPr>
              <w:spacing w:after="0"/>
              <w:rPr>
                <w:sz w:val="9"/>
                <w:szCs w:val="9"/>
                <w:color w:val="auto"/>
              </w:rPr>
            </w:pPr>
          </w:p>
        </w:tc>
        <w:tc>
          <w:tcPr>
            <w:tcW w:w="216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295"/>
        </w:trPr>
        <w:tc>
          <w:tcPr>
            <w:tcW w:w="226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60" w:type="dxa"/>
            <w:vAlign w:val="bottom"/>
          </w:tcPr>
          <w:p>
            <w:pPr>
              <w:jc w:val="center"/>
              <w:ind w:right="462"/>
              <w:spacing w:after="0"/>
              <w:rPr>
                <w:sz w:val="20"/>
                <w:szCs w:val="20"/>
                <w:color w:val="auto"/>
              </w:rPr>
            </w:pPr>
            <w:r>
              <w:rPr>
                <w:rFonts w:ascii="Times New Roman" w:cs="Times New Roman" w:eastAsia="Times New Roman" w:hAnsi="Times New Roman"/>
                <w:sz w:val="14"/>
                <w:szCs w:val="14"/>
                <w:color w:val="auto"/>
              </w:rPr>
              <w:t>(Jurisdiction</w:t>
            </w:r>
          </w:p>
        </w:tc>
        <w:tc>
          <w:tcPr>
            <w:tcW w:w="2840" w:type="dxa"/>
            <w:vAlign w:val="bottom"/>
          </w:tcPr>
          <w:p>
            <w:pPr>
              <w:spacing w:after="0"/>
              <w:rPr>
                <w:sz w:val="14"/>
                <w:szCs w:val="14"/>
                <w:color w:val="auto"/>
              </w:rPr>
            </w:pPr>
          </w:p>
        </w:tc>
        <w:tc>
          <w:tcPr>
            <w:tcW w:w="216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(I.R.S. of Employer</w:t>
            </w:r>
          </w:p>
        </w:tc>
        <w:tc>
          <w:tcPr>
            <w:tcW w:w="0" w:type="dxa"/>
            <w:vAlign w:val="bottom"/>
          </w:tcPr>
          <w:p>
            <w:pPr>
              <w:spacing w:after="0"/>
              <w:rPr>
                <w:sz w:val="1"/>
                <w:szCs w:val="1"/>
                <w:color w:val="auto"/>
              </w:rPr>
            </w:pPr>
          </w:p>
        </w:tc>
      </w:tr>
      <w:tr>
        <w:trPr>
          <w:trHeight w:val="188"/>
        </w:trPr>
        <w:tc>
          <w:tcPr>
            <w:tcW w:w="2260" w:type="dxa"/>
            <w:vAlign w:val="bottom"/>
          </w:tcPr>
          <w:p>
            <w:pPr>
              <w:jc w:val="center"/>
              <w:ind w:right="42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40" w:type="dxa"/>
            <w:vAlign w:val="bottom"/>
          </w:tcPr>
          <w:p>
            <w:pPr>
              <w:spacing w:after="0"/>
              <w:rPr>
                <w:sz w:val="16"/>
                <w:szCs w:val="16"/>
                <w:color w:val="auto"/>
              </w:rPr>
            </w:pPr>
          </w:p>
        </w:tc>
        <w:tc>
          <w:tcPr>
            <w:tcW w:w="21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Identification Number)</w:t>
            </w:r>
          </w:p>
        </w:tc>
        <w:tc>
          <w:tcPr>
            <w:tcW w:w="0" w:type="dxa"/>
            <w:vAlign w:val="bottom"/>
          </w:tcPr>
          <w:p>
            <w:pPr>
              <w:spacing w:after="0"/>
              <w:rPr>
                <w:sz w:val="1"/>
                <w:szCs w:val="1"/>
                <w:color w:val="auto"/>
              </w:rPr>
            </w:pPr>
          </w:p>
        </w:tc>
      </w:tr>
      <w:tr>
        <w:trPr>
          <w:trHeight w:val="393"/>
        </w:trPr>
        <w:tc>
          <w:tcPr>
            <w:tcW w:w="2260" w:type="dxa"/>
            <w:vAlign w:val="bottom"/>
          </w:tcPr>
          <w:p>
            <w:pPr>
              <w:spacing w:after="0"/>
              <w:rPr>
                <w:sz w:val="24"/>
                <w:szCs w:val="24"/>
                <w:color w:val="auto"/>
              </w:rPr>
            </w:pPr>
          </w:p>
        </w:tc>
        <w:tc>
          <w:tcPr>
            <w:tcW w:w="5000" w:type="dxa"/>
            <w:vAlign w:val="bottom"/>
            <w:gridSpan w:val="2"/>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9"/>
              </w:rPr>
              <w:t>WTC Schiphol Airport</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000" w:type="dxa"/>
            <w:vAlign w:val="bottom"/>
            <w:gridSpan w:val="2"/>
          </w:tcPr>
          <w:p>
            <w:pPr>
              <w:jc w:val="center"/>
              <w:ind w:right="1682"/>
              <w:spacing w:after="0" w:line="202" w:lineRule="exact"/>
              <w:rPr>
                <w:sz w:val="20"/>
                <w:szCs w:val="20"/>
                <w:color w:val="auto"/>
              </w:rPr>
            </w:pPr>
            <w:r>
              <w:rPr>
                <w:rFonts w:ascii="Times New Roman" w:cs="Times New Roman" w:eastAsia="Times New Roman" w:hAnsi="Times New Roman"/>
                <w:sz w:val="18"/>
                <w:szCs w:val="18"/>
                <w:b w:val="1"/>
                <w:bCs w:val="1"/>
                <w:color w:val="auto"/>
              </w:rPr>
              <w:t>Schiphol Boulevard 265</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000" w:type="dxa"/>
            <w:vAlign w:val="bottom"/>
            <w:gridSpan w:val="2"/>
          </w:tcPr>
          <w:p>
            <w:pPr>
              <w:jc w:val="center"/>
              <w:ind w:right="1682"/>
              <w:spacing w:after="0"/>
              <w:rPr>
                <w:sz w:val="20"/>
                <w:szCs w:val="20"/>
                <w:color w:val="auto"/>
              </w:rPr>
            </w:pPr>
            <w:r>
              <w:rPr>
                <w:rFonts w:ascii="Times New Roman" w:cs="Times New Roman" w:eastAsia="Times New Roman" w:hAnsi="Times New Roman"/>
                <w:sz w:val="18"/>
                <w:szCs w:val="18"/>
                <w:b w:val="1"/>
                <w:bCs w:val="1"/>
                <w:color w:val="auto"/>
                <w:w w:val="98"/>
              </w:rPr>
              <w:t>1118 BH Schiphol</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000" w:type="dxa"/>
            <w:vAlign w:val="bottom"/>
            <w:gridSpan w:val="2"/>
          </w:tcPr>
          <w:p>
            <w:pPr>
              <w:jc w:val="center"/>
              <w:ind w:right="1682"/>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2840" w:type="dxa"/>
            <w:vAlign w:val="bottom"/>
          </w:tcPr>
          <w:p>
            <w:pPr>
              <w:jc w:val="center"/>
              <w:ind w:left="303"/>
              <w:spacing w:after="0"/>
              <w:rPr>
                <w:sz w:val="20"/>
                <w:szCs w:val="20"/>
                <w:color w:val="auto"/>
              </w:rPr>
            </w:pPr>
            <w:r>
              <w:rPr>
                <w:rFonts w:ascii="Times New Roman" w:cs="Times New Roman" w:eastAsia="Times New Roman" w:hAnsi="Times New Roman"/>
                <w:sz w:val="18"/>
                <w:szCs w:val="18"/>
                <w:b w:val="1"/>
                <w:bCs w:val="1"/>
                <w:color w:val="auto"/>
              </w:rPr>
              <w:t>+31-20-654-3210</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83820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Corporation Service Company (CSC),</w:t>
      </w:r>
    </w:p>
    <w:p>
      <w:pPr>
        <w:spacing w:after="0" w:line="2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80 State Street,</w:t>
      </w:r>
    </w:p>
    <w:p>
      <w:pPr>
        <w:spacing w:after="0" w:line="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Albany, NY, 12207</w:t>
      </w:r>
    </w:p>
    <w:p>
      <w:pPr>
        <w:jc w:val="center"/>
        <w:ind w:left="380"/>
        <w:spacing w:after="0" w:line="234" w:lineRule="auto"/>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+1 302 421 6100</w:t>
      </w:r>
    </w:p>
    <w:p>
      <w:pPr>
        <w:spacing w:after="0" w:line="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73660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0"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Trevor Ingram</w:t>
      </w:r>
    </w:p>
    <w:p>
      <w:pPr>
        <w:spacing w:after="0" w:line="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Allen Overy Shearman Sterling LLP</w:t>
      </w:r>
    </w:p>
    <w:p>
      <w:pPr>
        <w:jc w:val="center"/>
        <w:ind w:left="380"/>
        <w:spacing w:after="0" w:line="234" w:lineRule="auto"/>
        <w:rPr>
          <w:sz w:val="20"/>
          <w:szCs w:val="20"/>
          <w:color w:val="auto"/>
        </w:rPr>
      </w:pPr>
      <w:r>
        <w:rPr>
          <w:rFonts w:ascii="Times New Roman" w:cs="Times New Roman" w:eastAsia="Times New Roman" w:hAnsi="Times New Roman"/>
          <w:sz w:val="18"/>
          <w:szCs w:val="18"/>
          <w:b w:val="1"/>
          <w:bCs w:val="1"/>
          <w:color w:val="auto"/>
        </w:rPr>
        <w:t>One Bishops Square</w:t>
      </w:r>
    </w:p>
    <w:p>
      <w:pPr>
        <w:spacing w:after="0" w:line="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E1 6AD, London, United Kingdom</w:t>
      </w:r>
    </w:p>
    <w:p>
      <w:pPr>
        <w:spacing w:after="0" w:line="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+44 20 3088 0000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66040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2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385" w:lineRule="exact"/>
        <w:rPr>
          <w:sz w:val="24"/>
          <w:szCs w:val="24"/>
          <w:color w:val="auto"/>
        </w:rPr>
      </w:pPr>
    </w:p>
    <w:p>
      <w:pPr>
        <w:ind w:left="400"/>
        <w:spacing w:after="0" w:line="161" w:lineRule="exact"/>
        <w:rPr>
          <w:sz w:val="20"/>
          <w:szCs w:val="20"/>
          <w:color w:val="auto"/>
        </w:rPr>
      </w:pPr>
      <w:r>
        <w:rPr>
          <w:rFonts w:ascii="Times New Roman" w:cs="Times New Roman" w:eastAsia="Times New Roman" w:hAnsi="Times New Roman"/>
          <w:sz w:val="14"/>
          <w:szCs w:val="14"/>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31" w:lineRule="exact"/>
        <w:rPr>
          <w:sz w:val="24"/>
          <w:szCs w:val="24"/>
          <w:color w:val="auto"/>
        </w:rPr>
      </w:pPr>
    </w:p>
    <w:p>
      <w:pPr>
        <w:ind w:left="40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48" w:lineRule="exact"/>
        <w:rPr>
          <w:sz w:val="24"/>
          <w:szCs w:val="24"/>
          <w:color w:val="auto"/>
        </w:rPr>
      </w:pPr>
    </w:p>
    <w:p>
      <w:pPr>
        <w:ind w:firstLine="38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68" w:lineRule="exact"/>
        <w:rPr>
          <w:sz w:val="24"/>
          <w:szCs w:val="24"/>
          <w:color w:val="auto"/>
        </w:rPr>
      </w:pPr>
    </w:p>
    <w:p>
      <w:pPr>
        <w:ind w:firstLine="38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68" w:lineRule="exact"/>
        <w:rPr>
          <w:sz w:val="24"/>
          <w:szCs w:val="24"/>
          <w:color w:val="auto"/>
        </w:rPr>
      </w:pPr>
    </w:p>
    <w:p>
      <w:pPr>
        <w:ind w:firstLine="38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68" w:lineRule="exact"/>
        <w:rPr>
          <w:sz w:val="24"/>
          <w:szCs w:val="24"/>
          <w:color w:val="auto"/>
        </w:rPr>
      </w:pPr>
    </w:p>
    <w:p>
      <w:pPr>
        <w:ind w:firstLine="38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6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86" w:lineRule="exact"/>
        <w:rPr>
          <w:sz w:val="24"/>
          <w:szCs w:val="24"/>
          <w:color w:val="auto"/>
        </w:rPr>
      </w:pPr>
    </w:p>
    <w:p>
      <w:pPr>
        <w:ind w:left="4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48" w:lineRule="exact"/>
        <w:rPr>
          <w:sz w:val="24"/>
          <w:szCs w:val="24"/>
          <w:color w:val="auto"/>
        </w:rPr>
      </w:pPr>
    </w:p>
    <w:p>
      <w:pPr>
        <w:ind w:right="20" w:firstLine="382"/>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51" w:lineRule="exact"/>
        <w:rPr>
          <w:sz w:val="24"/>
          <w:szCs w:val="24"/>
          <w:color w:val="auto"/>
        </w:rPr>
      </w:pPr>
    </w:p>
    <w:p>
      <w:pPr>
        <w:ind w:left="860" w:hanging="470"/>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111111"/>
        </w:rPr>
        <w:drawing>
          <wp:anchor simplePos="0" relativeHeight="251657728" behindDoc="1" locked="0" layoutInCell="0" allowOverlap="1">
            <wp:simplePos x="0" y="0"/>
            <wp:positionH relativeFrom="page">
              <wp:posOffset>208280</wp:posOffset>
            </wp:positionH>
            <wp:positionV relativeFrom="page">
              <wp:posOffset>380365</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406400</wp:posOffset>
            </wp:positionV>
            <wp:extent cx="714057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34290"/>
                    </a:xfrm>
                    <a:prstGeom prst="rect">
                      <a:avLst/>
                    </a:prstGeom>
                    <a:noFill/>
                  </pic:spPr>
                </pic:pic>
              </a:graphicData>
            </a:graphic>
          </wp:anchor>
        </w:drawing>
        <w:t>PROSPECTUS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STMICROELECTRONICS </w:t>
      </w:r>
      <w:r>
        <w:rPr>
          <w:rFonts w:ascii="Times New Roman" w:cs="Times New Roman" w:eastAsia="Times New Roman" w:hAnsi="Times New Roman"/>
          <w:sz w:val="20"/>
          <w:szCs w:val="20"/>
          <w:b w:val="1"/>
          <w:bCs w:val="1"/>
          <w:color w:val="111111"/>
        </w:rPr>
        <w:t>N.V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11111"/>
        </w:rPr>
        <w:t>24,755,584 ORDINARY SHARES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11111"/>
        </w:rPr>
        <w:t>OFFERED BY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11111"/>
        </w:rPr>
        <w:t>THE SELLING SECURITYHOLDER</w:t>
      </w:r>
    </w:p>
    <w:p>
      <w:pPr>
        <w:spacing w:after="0" w:line="224"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securityholder (the “Selling Securityholder”) or its permitted transferees, of up to 24,755,584 ordinary shares (the “Ordinary Shares”) of STMicroelectronics N.V. The Ordinary Shares that may be offered by the Selling Securityholder are those that may be acquired upon exercise of the Warrants held by the Selling Securityholder.</w:t>
      </w:r>
    </w:p>
    <w:p>
      <w:pPr>
        <w:spacing w:after="0" w:line="177"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111111"/>
        </w:rPr>
        <w:t>We are not offering or selling Ordinary Shares and will not receive any proceeds from the sale of Ordinary Shares by the Selling Securityholder pursuant to this prospectus.</w:t>
      </w:r>
    </w:p>
    <w:p>
      <w:pPr>
        <w:spacing w:after="0" w:line="14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11111"/>
        </w:rPr>
        <w:t xml:space="preserve">Our registration of the securities covered by this prospectus does not mean that the Selling Securityholder will issue, offer or sell, as applicable, any of the securities. The Selling Securityholder may offer and sell the securities covered by this prospectus in a number of different ways and at varying prices. We provide more information about how the Selling Securityholder may sell the securities in the section entitled </w:t>
      </w:r>
      <w:r>
        <w:rPr>
          <w:rFonts w:ascii="Times New Roman" w:cs="Times New Roman" w:eastAsia="Times New Roman" w:hAnsi="Times New Roman"/>
          <w:sz w:val="18"/>
          <w:szCs w:val="18"/>
          <w:i w:val="1"/>
          <w:iCs w:val="1"/>
          <w:color w:val="111111"/>
        </w:rPr>
        <w:t>"Plan of Distribution."</w:t>
      </w:r>
    </w:p>
    <w:p>
      <w:pPr>
        <w:spacing w:after="0" w:line="169"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111111"/>
        </w:rPr>
        <w:t>The Ordinary Shares are listed on the New York Stock Exchange (the "NYSE") under the symbol "STM". The last reported sale price of the Ordinary Shares was $31.95 per share on March 24, 2026.</w:t>
      </w:r>
    </w:p>
    <w:p>
      <w:pPr>
        <w:spacing w:after="0" w:line="172"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8"/>
          <w:szCs w:val="18"/>
          <w:b w:val="1"/>
          <w:bCs w:val="1"/>
          <w:color w:val="111111"/>
        </w:rPr>
        <w:t xml:space="preserve">You should read this prospectus and any prospectus or amendment carefully before you invest in our securities. Investing in the Company's securities involves risks. See </w:t>
      </w:r>
      <w:r>
        <w:rPr>
          <w:rFonts w:ascii="Times New Roman" w:cs="Times New Roman" w:eastAsia="Times New Roman" w:hAnsi="Times New Roman"/>
          <w:sz w:val="18"/>
          <w:szCs w:val="18"/>
          <w:b w:val="1"/>
          <w:bCs w:val="1"/>
          <w:i w:val="1"/>
          <w:iCs w:val="1"/>
          <w:color w:val="111111"/>
        </w:rPr>
        <w:t>"Risk Factors"</w:t>
      </w:r>
      <w:r>
        <w:rPr>
          <w:rFonts w:ascii="Times New Roman" w:cs="Times New Roman" w:eastAsia="Times New Roman" w:hAnsi="Times New Roman"/>
          <w:sz w:val="18"/>
          <w:szCs w:val="18"/>
          <w:b w:val="1"/>
          <w:bCs w:val="1"/>
          <w:color w:val="111111"/>
        </w:rPr>
        <w:t xml:space="preserve"> beginning on page 14 of this prospectus and any risk factors described in any applicable prospectus and in our SEC filings that are incorporated by reference in this prospectus.</w:t>
      </w:r>
    </w:p>
    <w:p>
      <w:pPr>
        <w:spacing w:after="0" w:line="18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8"/>
          <w:szCs w:val="18"/>
          <w:b w:val="1"/>
          <w:bCs w:val="1"/>
          <w:color w:val="111111"/>
        </w:rPr>
        <w:t>Neither the SEC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PROSPECTUS DATED MARCH 25, 2026</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60" w:type="dxa"/>
            <w:vAlign w:val="bottom"/>
            <w:gridSpan w:val="5"/>
          </w:tcPr>
          <w:p>
            <w:pPr>
              <w:jc w:val="center"/>
              <w:ind w:right="2240"/>
              <w:spacing w:after="0"/>
              <w:rPr>
                <w:sz w:val="20"/>
                <w:szCs w:val="20"/>
                <w:color w:val="auto"/>
              </w:rPr>
            </w:pPr>
            <w:r>
              <w:rPr>
                <w:rFonts w:ascii="Times New Roman" w:cs="Times New Roman" w:eastAsia="Times New Roman" w:hAnsi="Times New Roman"/>
                <w:sz w:val="18"/>
                <w:szCs w:val="18"/>
                <w:b w:val="1"/>
                <w:bCs w:val="1"/>
                <w:color w:val="0000EE"/>
                <w:w w:val="98"/>
              </w:rPr>
              <w:t>TABLE OF CONTENTS</w:t>
            </w:r>
          </w:p>
        </w:tc>
        <w:tc>
          <w:tcPr>
            <w:tcW w:w="2420" w:type="dxa"/>
            <w:vAlign w:val="bottom"/>
          </w:tcPr>
          <w:p>
            <w:pPr>
              <w:spacing w:after="0"/>
              <w:rPr>
                <w:sz w:val="17"/>
                <w:szCs w:val="17"/>
                <w:color w:val="auto"/>
              </w:rPr>
            </w:pPr>
          </w:p>
        </w:tc>
      </w:tr>
      <w:tr>
        <w:trPr>
          <w:trHeight w:val="588"/>
        </w:trPr>
        <w:tc>
          <w:tcPr>
            <w:tcW w:w="220" w:type="dxa"/>
            <w:vAlign w:val="bottom"/>
          </w:tcPr>
          <w:p>
            <w:pPr>
              <w:spacing w:after="0"/>
              <w:rPr>
                <w:sz w:val="24"/>
                <w:szCs w:val="24"/>
                <w:color w:val="auto"/>
              </w:rPr>
            </w:pPr>
          </w:p>
        </w:tc>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6"/>
              </w:rPr>
              <w:t>PROSPECTUS</w:t>
            </w:r>
          </w:p>
        </w:tc>
        <w:tc>
          <w:tcPr>
            <w:tcW w:w="3220" w:type="dxa"/>
            <w:vAlign w:val="bottom"/>
            <w:gridSpan w:val="20"/>
          </w:tcPr>
          <w:p>
            <w:pPr>
              <w:spacing w:after="0"/>
              <w:rPr>
                <w:sz w:val="24"/>
                <w:szCs w:val="24"/>
                <w:color w:val="auto"/>
              </w:rPr>
            </w:pPr>
          </w:p>
        </w:tc>
        <w:tc>
          <w:tcPr>
            <w:tcW w:w="1920" w:type="dxa"/>
            <w:vAlign w:val="bottom"/>
            <w:tcBorders>
              <w:top w:val="single" w:sz="8" w:color="0000EE"/>
            </w:tcBorders>
            <w:gridSpan w:val="4"/>
          </w:tcPr>
          <w:p>
            <w:pPr>
              <w:spacing w:after="0"/>
              <w:rPr>
                <w:sz w:val="24"/>
                <w:szCs w:val="24"/>
                <w:color w:val="auto"/>
              </w:rPr>
            </w:pPr>
          </w:p>
        </w:tc>
        <w:tc>
          <w:tcPr>
            <w:tcW w:w="22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90"/>
        </w:trPr>
        <w:tc>
          <w:tcPr>
            <w:tcW w:w="220" w:type="dxa"/>
            <w:vAlign w:val="bottom"/>
          </w:tcPr>
          <w:p>
            <w:pPr>
              <w:spacing w:after="0"/>
              <w:rPr>
                <w:sz w:val="24"/>
                <w:szCs w:val="24"/>
                <w:color w:val="auto"/>
              </w:rPr>
            </w:pPr>
          </w:p>
        </w:tc>
        <w:tc>
          <w:tcPr>
            <w:tcW w:w="2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w w:val="97"/>
              </w:rPr>
              <w:t>ABOUT THIS PROSPECTUS</w:t>
            </w:r>
          </w:p>
        </w:tc>
        <w:tc>
          <w:tcPr>
            <w:tcW w:w="6160" w:type="dxa"/>
            <w:vAlign w:val="bottom"/>
            <w:gridSpan w:val="1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1"/>
        </w:trPr>
        <w:tc>
          <w:tcPr>
            <w:tcW w:w="220" w:type="dxa"/>
            <w:vAlign w:val="bottom"/>
          </w:tcPr>
          <w:p>
            <w:pPr>
              <w:spacing w:after="0"/>
              <w:rPr>
                <w:sz w:val="24"/>
                <w:szCs w:val="24"/>
                <w:color w:val="auto"/>
              </w:rPr>
            </w:pPr>
          </w:p>
        </w:tc>
        <w:tc>
          <w:tcPr>
            <w:tcW w:w="29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w w:val="96"/>
              </w:rPr>
              <w:t>MARKET AND INDUSTRY DATA</w:t>
            </w:r>
          </w:p>
        </w:tc>
        <w:tc>
          <w:tcPr>
            <w:tcW w:w="570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90"/>
        </w:trPr>
        <w:tc>
          <w:tcPr>
            <w:tcW w:w="220" w:type="dxa"/>
            <w:vAlign w:val="bottom"/>
          </w:tcPr>
          <w:p>
            <w:pPr>
              <w:spacing w:after="0"/>
              <w:rPr>
                <w:sz w:val="24"/>
                <w:szCs w:val="24"/>
                <w:color w:val="auto"/>
              </w:rPr>
            </w:pPr>
          </w:p>
        </w:tc>
        <w:tc>
          <w:tcPr>
            <w:tcW w:w="2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0"/>
                <w:szCs w:val="20"/>
                <w:color w:val="0000EE"/>
                <w:w w:val="96"/>
              </w:rPr>
              <w:t>FREQUENTLY USED TERMS</w:t>
            </w:r>
          </w:p>
        </w:tc>
        <w:tc>
          <w:tcPr>
            <w:tcW w:w="6060" w:type="dxa"/>
            <w:vAlign w:val="bottom"/>
            <w:gridSpan w:val="15"/>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91"/>
        </w:trPr>
        <w:tc>
          <w:tcPr>
            <w:tcW w:w="22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w w:val="97"/>
              </w:rPr>
              <w:t>PROSPECTUS SUMMARY</w:t>
            </w:r>
          </w:p>
        </w:tc>
        <w:tc>
          <w:tcPr>
            <w:tcW w:w="6320" w:type="dxa"/>
            <w:vAlign w:val="bottom"/>
            <w:gridSpan w:val="17"/>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91"/>
        </w:trPr>
        <w:tc>
          <w:tcPr>
            <w:tcW w:w="220" w:type="dxa"/>
            <w:vAlign w:val="bottom"/>
          </w:tcPr>
          <w:p>
            <w:pPr>
              <w:spacing w:after="0"/>
              <w:rPr>
                <w:sz w:val="24"/>
                <w:szCs w:val="24"/>
                <w:color w:val="auto"/>
              </w:rPr>
            </w:pPr>
          </w:p>
        </w:tc>
        <w:tc>
          <w:tcPr>
            <w:tcW w:w="3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7"/>
              </w:rPr>
              <w:t>SUMMARY TERMS OF THE OFFERING</w:t>
            </w:r>
          </w:p>
        </w:tc>
        <w:tc>
          <w:tcPr>
            <w:tcW w:w="5140" w:type="dxa"/>
            <w:vAlign w:val="bottom"/>
            <w:gridSpan w:val="10"/>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90"/>
        </w:trPr>
        <w:tc>
          <w:tcPr>
            <w:tcW w:w="220" w:type="dxa"/>
            <w:vAlign w:val="bottom"/>
          </w:tcPr>
          <w:p>
            <w:pPr>
              <w:spacing w:after="0"/>
              <w:rPr>
                <w:sz w:val="24"/>
                <w:szCs w:val="24"/>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CAUTIONARY NOTE REGARDING FORWARD-LOOKING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91"/>
        </w:trPr>
        <w:tc>
          <w:tcPr>
            <w:tcW w:w="220" w:type="dxa"/>
            <w:vAlign w:val="bottom"/>
          </w:tcPr>
          <w:p>
            <w:pPr>
              <w:spacing w:after="0"/>
              <w:rPr>
                <w:sz w:val="24"/>
                <w:szCs w:val="24"/>
                <w:color w:val="auto"/>
              </w:rPr>
            </w:pPr>
          </w:p>
        </w:tc>
        <w:tc>
          <w:tcPr>
            <w:tcW w:w="13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5"/>
              </w:rPr>
              <w:t>RISK FACTORS</w:t>
            </w:r>
          </w:p>
        </w:tc>
        <w:tc>
          <w:tcPr>
            <w:tcW w:w="4980" w:type="dxa"/>
            <w:vAlign w:val="bottom"/>
            <w:tcBorders>
              <w:top w:val="single" w:sz="8" w:color="0000EE"/>
            </w:tcBorders>
            <w:gridSpan w:val="22"/>
          </w:tcPr>
          <w:p>
            <w:pPr>
              <w:spacing w:after="0"/>
              <w:rPr>
                <w:sz w:val="24"/>
                <w:szCs w:val="24"/>
                <w:color w:val="auto"/>
              </w:rPr>
            </w:pPr>
          </w:p>
        </w:tc>
        <w:tc>
          <w:tcPr>
            <w:tcW w:w="2260" w:type="dxa"/>
            <w:vAlign w:val="bottom"/>
            <w:gridSpan w:val="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0"/>
        </w:trPr>
        <w:tc>
          <w:tcPr>
            <w:tcW w:w="220" w:type="dxa"/>
            <w:vAlign w:val="bottom"/>
          </w:tcPr>
          <w:p>
            <w:pPr>
              <w:spacing w:after="0"/>
              <w:rPr>
                <w:sz w:val="24"/>
                <w:szCs w:val="24"/>
                <w:color w:val="auto"/>
              </w:rPr>
            </w:pPr>
          </w:p>
        </w:tc>
        <w:tc>
          <w:tcPr>
            <w:tcW w:w="1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w w:val="97"/>
              </w:rPr>
              <w:t>USE OF PROCEEDS</w:t>
            </w:r>
          </w:p>
        </w:tc>
        <w:tc>
          <w:tcPr>
            <w:tcW w:w="6860" w:type="dxa"/>
            <w:vAlign w:val="bottom"/>
            <w:gridSpan w:val="20"/>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91"/>
        </w:trPr>
        <w:tc>
          <w:tcPr>
            <w:tcW w:w="220" w:type="dxa"/>
            <w:vAlign w:val="bottom"/>
          </w:tcPr>
          <w:p>
            <w:pPr>
              <w:spacing w:after="0"/>
              <w:rPr>
                <w:sz w:val="24"/>
                <w:szCs w:val="24"/>
                <w:color w:val="auto"/>
              </w:rPr>
            </w:pPr>
          </w:p>
        </w:tc>
        <w:tc>
          <w:tcPr>
            <w:tcW w:w="1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7"/>
              </w:rPr>
              <w:t>DIVIDEND POLICY</w:t>
            </w:r>
          </w:p>
        </w:tc>
        <w:tc>
          <w:tcPr>
            <w:tcW w:w="6880" w:type="dxa"/>
            <w:vAlign w:val="bottom"/>
            <w:gridSpan w:val="21"/>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90"/>
        </w:trPr>
        <w:tc>
          <w:tcPr>
            <w:tcW w:w="22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5"/>
              </w:rPr>
              <w:t>CAPITALIZATION</w:t>
            </w:r>
          </w:p>
        </w:tc>
        <w:tc>
          <w:tcPr>
            <w:tcW w:w="7000" w:type="dxa"/>
            <w:vAlign w:val="bottom"/>
            <w:gridSpan w:val="2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91"/>
        </w:trPr>
        <w:tc>
          <w:tcPr>
            <w:tcW w:w="220" w:type="dxa"/>
            <w:vAlign w:val="bottom"/>
          </w:tcPr>
          <w:p>
            <w:pPr>
              <w:spacing w:after="0"/>
              <w:rPr>
                <w:sz w:val="24"/>
                <w:szCs w:val="24"/>
                <w:color w:val="auto"/>
              </w:rPr>
            </w:pPr>
          </w:p>
        </w:tc>
        <w:tc>
          <w:tcPr>
            <w:tcW w:w="27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0"/>
                <w:szCs w:val="20"/>
                <w:color w:val="0000EE"/>
                <w:w w:val="98"/>
              </w:rPr>
              <w:t>DESCRIPTION OF SECURITIES</w:t>
            </w:r>
          </w:p>
        </w:tc>
        <w:tc>
          <w:tcPr>
            <w:tcW w:w="5840" w:type="dxa"/>
            <w:vAlign w:val="bottom"/>
            <w:gridSpan w:val="13"/>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91"/>
        </w:trPr>
        <w:tc>
          <w:tcPr>
            <w:tcW w:w="220" w:type="dxa"/>
            <w:vAlign w:val="bottom"/>
          </w:tcPr>
          <w:p>
            <w:pPr>
              <w:spacing w:after="0"/>
              <w:rPr>
                <w:sz w:val="24"/>
                <w:szCs w:val="24"/>
                <w:color w:val="auto"/>
              </w:rPr>
            </w:pPr>
          </w:p>
        </w:tc>
        <w:tc>
          <w:tcPr>
            <w:tcW w:w="27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w w:val="97"/>
              </w:rPr>
              <w:t>SELLING SECURITYHOLDERS</w:t>
            </w:r>
          </w:p>
        </w:tc>
        <w:tc>
          <w:tcPr>
            <w:tcW w:w="5860" w:type="dxa"/>
            <w:vAlign w:val="bottom"/>
            <w:gridSpan w:val="14"/>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90"/>
        </w:trPr>
        <w:tc>
          <w:tcPr>
            <w:tcW w:w="220" w:type="dxa"/>
            <w:vAlign w:val="bottom"/>
          </w:tcPr>
          <w:p>
            <w:pPr>
              <w:spacing w:after="0"/>
              <w:rPr>
                <w:sz w:val="24"/>
                <w:szCs w:val="24"/>
                <w:color w:val="auto"/>
              </w:rPr>
            </w:pPr>
          </w:p>
        </w:tc>
        <w:tc>
          <w:tcPr>
            <w:tcW w:w="39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20"/>
                <w:szCs w:val="20"/>
                <w:color w:val="0000EE"/>
                <w:w w:val="96"/>
              </w:rPr>
              <w:t>MATERIAL DUTCH TAX CONSIDERATIONS</w:t>
            </w:r>
          </w:p>
        </w:tc>
        <w:tc>
          <w:tcPr>
            <w:tcW w:w="470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1"/>
        </w:trPr>
        <w:tc>
          <w:tcPr>
            <w:tcW w:w="220" w:type="dxa"/>
            <w:vAlign w:val="bottom"/>
          </w:tcPr>
          <w:p>
            <w:pPr>
              <w:spacing w:after="0"/>
              <w:rPr>
                <w:sz w:val="24"/>
                <w:szCs w:val="24"/>
                <w:color w:val="auto"/>
              </w:rPr>
            </w:pPr>
          </w:p>
        </w:tc>
        <w:tc>
          <w:tcPr>
            <w:tcW w:w="22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w w:val="97"/>
              </w:rPr>
              <w:t>PLAN OF DISTRIBUTION</w:t>
            </w:r>
          </w:p>
        </w:tc>
        <w:tc>
          <w:tcPr>
            <w:tcW w:w="6360" w:type="dxa"/>
            <w:vAlign w:val="bottom"/>
            <w:gridSpan w:val="18"/>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90"/>
        </w:trPr>
        <w:tc>
          <w:tcPr>
            <w:tcW w:w="220" w:type="dxa"/>
            <w:vAlign w:val="bottom"/>
          </w:tcPr>
          <w:p>
            <w:pPr>
              <w:spacing w:after="0"/>
              <w:rPr>
                <w:sz w:val="24"/>
                <w:szCs w:val="24"/>
                <w:color w:val="auto"/>
              </w:rPr>
            </w:pPr>
          </w:p>
        </w:tc>
        <w:tc>
          <w:tcPr>
            <w:tcW w:w="36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w w:val="97"/>
              </w:rPr>
              <w:t>EXPENSES RELATED TO THE OFFERING</w:t>
            </w:r>
          </w:p>
        </w:tc>
        <w:tc>
          <w:tcPr>
            <w:tcW w:w="494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91"/>
        </w:trPr>
        <w:tc>
          <w:tcPr>
            <w:tcW w:w="220" w:type="dxa"/>
            <w:vAlign w:val="bottom"/>
          </w:tcPr>
          <w:p>
            <w:pPr>
              <w:spacing w:after="0"/>
              <w:rPr>
                <w:sz w:val="24"/>
                <w:szCs w:val="24"/>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LEGAL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90"/>
        </w:trPr>
        <w:tc>
          <w:tcPr>
            <w:tcW w:w="220" w:type="dxa"/>
            <w:vAlign w:val="bottom"/>
          </w:tcPr>
          <w:p>
            <w:pPr>
              <w:spacing w:after="0"/>
              <w:rPr>
                <w:sz w:val="24"/>
                <w:szCs w:val="24"/>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INTERESTS OF EXPERTS AND COUNSEL</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90"/>
        </w:trPr>
        <w:tc>
          <w:tcPr>
            <w:tcW w:w="220" w:type="dxa"/>
            <w:vAlign w:val="bottom"/>
          </w:tcPr>
          <w:p>
            <w:pPr>
              <w:spacing w:after="0"/>
              <w:rPr>
                <w:sz w:val="24"/>
                <w:szCs w:val="24"/>
                <w:color w:val="auto"/>
              </w:rPr>
            </w:pPr>
          </w:p>
        </w:tc>
        <w:tc>
          <w:tcPr>
            <w:tcW w:w="8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94"/>
              </w:rPr>
              <w:t>EXPERTS</w:t>
            </w:r>
          </w:p>
        </w:tc>
        <w:tc>
          <w:tcPr>
            <w:tcW w:w="2820" w:type="dxa"/>
            <w:vAlign w:val="bottom"/>
            <w:tcBorders>
              <w:top w:val="single" w:sz="8" w:color="0000EE"/>
            </w:tcBorders>
            <w:gridSpan w:val="19"/>
          </w:tcPr>
          <w:p>
            <w:pPr>
              <w:spacing w:after="0"/>
              <w:rPr>
                <w:sz w:val="24"/>
                <w:szCs w:val="24"/>
                <w:color w:val="auto"/>
              </w:rPr>
            </w:pPr>
          </w:p>
        </w:tc>
        <w:tc>
          <w:tcPr>
            <w:tcW w:w="494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90"/>
        </w:trPr>
        <w:tc>
          <w:tcPr>
            <w:tcW w:w="220" w:type="dxa"/>
            <w:vAlign w:val="bottom"/>
          </w:tcPr>
          <w:p>
            <w:pPr>
              <w:spacing w:after="0"/>
              <w:rPr>
                <w:sz w:val="24"/>
                <w:szCs w:val="24"/>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ENFORCEMENT OF CIVIL LIABILITIES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90"/>
        </w:trPr>
        <w:tc>
          <w:tcPr>
            <w:tcW w:w="220" w:type="dxa"/>
            <w:vAlign w:val="bottom"/>
          </w:tcPr>
          <w:p>
            <w:pPr>
              <w:spacing w:after="0"/>
              <w:rPr>
                <w:sz w:val="24"/>
                <w:szCs w:val="24"/>
                <w:color w:val="auto"/>
              </w:rPr>
            </w:pPr>
          </w:p>
        </w:tc>
        <w:tc>
          <w:tcPr>
            <w:tcW w:w="41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0"/>
                <w:szCs w:val="20"/>
                <w:color w:val="0000EE"/>
                <w:w w:val="97"/>
              </w:rPr>
              <w:t>WHERE YOU CAN FIND MORE INFORMATION</w:t>
            </w:r>
          </w:p>
        </w:tc>
        <w:tc>
          <w:tcPr>
            <w:tcW w:w="442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90"/>
        </w:trPr>
        <w:tc>
          <w:tcPr>
            <w:tcW w:w="220" w:type="dxa"/>
            <w:vAlign w:val="bottom"/>
          </w:tcPr>
          <w:p>
            <w:pPr>
              <w:spacing w:after="0"/>
              <w:rPr>
                <w:sz w:val="24"/>
                <w:szCs w:val="24"/>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INCORPORATION OF CERTAIN DOCUMENTS BY REFERENCE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90"/>
        </w:trPr>
        <w:tc>
          <w:tcPr>
            <w:tcW w:w="220" w:type="dxa"/>
            <w:vAlign w:val="bottom"/>
          </w:tcPr>
          <w:p>
            <w:pPr>
              <w:spacing w:after="0"/>
              <w:rPr>
                <w:sz w:val="24"/>
                <w:szCs w:val="24"/>
                <w:color w:val="auto"/>
              </w:rPr>
            </w:pPr>
          </w:p>
        </w:tc>
        <w:tc>
          <w:tcPr>
            <w:tcW w:w="554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20"/>
                <w:szCs w:val="20"/>
                <w:color w:val="0000EE"/>
              </w:rPr>
              <w:t>PART II. INFORMATION NOT REQUIRED IN PROSPECTUS</w:t>
            </w:r>
          </w:p>
        </w:tc>
        <w:tc>
          <w:tcPr>
            <w:tcW w:w="306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91"/>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94"/>
              </w:rPr>
              <w:t>SIGNATURES</w:t>
            </w:r>
          </w:p>
        </w:tc>
        <w:tc>
          <w:tcPr>
            <w:tcW w:w="3940" w:type="dxa"/>
            <w:vAlign w:val="bottom"/>
            <w:tcBorders>
              <w:top w:val="single" w:sz="8" w:color="0000EE"/>
            </w:tcBorders>
            <w:gridSpan w:val="22"/>
          </w:tcPr>
          <w:p>
            <w:pPr>
              <w:spacing w:after="0"/>
              <w:rPr>
                <w:sz w:val="24"/>
                <w:szCs w:val="24"/>
                <w:color w:val="auto"/>
              </w:rPr>
            </w:pPr>
          </w:p>
        </w:tc>
        <w:tc>
          <w:tcPr>
            <w:tcW w:w="346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90"/>
        </w:trPr>
        <w:tc>
          <w:tcPr>
            <w:tcW w:w="2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w w:val="96"/>
              </w:rPr>
              <w:t>POWER OF ATTORNEY</w:t>
            </w:r>
          </w:p>
        </w:tc>
        <w:tc>
          <w:tcPr>
            <w:tcW w:w="6520" w:type="dxa"/>
            <w:vAlign w:val="bottom"/>
            <w:gridSpan w:val="19"/>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90"/>
        </w:trPr>
        <w:tc>
          <w:tcPr>
            <w:tcW w:w="220" w:type="dxa"/>
            <w:vAlign w:val="bottom"/>
          </w:tcPr>
          <w:p>
            <w:pPr>
              <w:spacing w:after="0"/>
              <w:rPr>
                <w:sz w:val="24"/>
                <w:szCs w:val="24"/>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AUTHORIZED REPRESENTATIVE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648"/>
        </w:trPr>
        <w:tc>
          <w:tcPr>
            <w:tcW w:w="220" w:type="dxa"/>
            <w:vAlign w:val="bottom"/>
            <w:tcBorders>
              <w:bottom w:val="single" w:sz="8" w:color="auto"/>
            </w:tcBorders>
          </w:tcPr>
          <w:p>
            <w:pPr>
              <w:spacing w:after="0"/>
              <w:rPr>
                <w:sz w:val="24"/>
                <w:szCs w:val="24"/>
                <w:color w:val="auto"/>
              </w:rPr>
            </w:pPr>
          </w:p>
        </w:tc>
        <w:tc>
          <w:tcPr>
            <w:tcW w:w="2980" w:type="dxa"/>
            <w:vAlign w:val="bottom"/>
            <w:tcBorders>
              <w:top w:val="single" w:sz="8" w:color="0000EE"/>
              <w:bottom w:val="single" w:sz="8" w:color="auto"/>
            </w:tcBorders>
            <w:gridSpan w:val="17"/>
          </w:tcPr>
          <w:p>
            <w:pPr>
              <w:spacing w:after="0"/>
              <w:rPr>
                <w:sz w:val="24"/>
                <w:szCs w:val="24"/>
                <w:color w:val="auto"/>
              </w:rPr>
            </w:pPr>
          </w:p>
        </w:tc>
        <w:tc>
          <w:tcPr>
            <w:tcW w:w="256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ABOUT THIS PROSPECTUS</w:t>
      </w:r>
    </w:p>
    <w:p>
      <w:pPr>
        <w:spacing w:after="0" w:line="216" w:lineRule="exact"/>
        <w:rPr>
          <w:sz w:val="20"/>
          <w:szCs w:val="20"/>
          <w:color w:val="auto"/>
        </w:rPr>
      </w:pPr>
    </w:p>
    <w:p>
      <w:pPr>
        <w:jc w:val="both"/>
        <w:ind w:firstLine="382"/>
        <w:spacing w:after="0" w:line="24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amendment or supplement to this prospectus, including information incorporated by reference herein or therein, or any free writing prospectus prepared by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constitute a part of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"Incorporation of Certain Documents By Reference."</w:t>
      </w:r>
    </w:p>
    <w:p>
      <w:pPr>
        <w:spacing w:after="0" w:line="193"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8"/>
          <w:szCs w:val="18"/>
          <w:color w:val="auto"/>
        </w:rPr>
        <w:t xml:space="preserve">Neither we nor the Selling Securityholder have authorized any other person to provide you with different or additional information. Neither we nor the Selling Securityholder take responsibility for, nor can we provide assurance as to the reliability of, any other information that others may provide. The information contained in this prospectus, any applicable prospectus or any document incorporated by reference in this prospectus is accurate only as of their respective dates or as of the dates stated therein, regardless of the time of delivery of this prospectus, any applicable prospectus or the documents incorporated by reference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t>
      </w:r>
      <w:r>
        <w:rPr>
          <w:rFonts w:ascii="Times New Roman" w:cs="Times New Roman" w:eastAsia="Times New Roman" w:hAnsi="Times New Roman"/>
          <w:sz w:val="18"/>
          <w:szCs w:val="18"/>
          <w:i w:val="1"/>
          <w:iCs w:val="1"/>
          <w:color w:val="auto"/>
        </w:rPr>
        <w:t>"Where You Can Find More Information."</w:t>
      </w:r>
    </w:p>
    <w:p>
      <w:pPr>
        <w:spacing w:after="0" w:line="185"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auto"/>
        </w:rPr>
        <w:t>This prospectus does not constitute an offer to sell these securities in any jurisdiction where the offer or sale is not permitted. Except as otherwise set forth in this prospectus, neither we nor the Selling Securityholder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111111"/>
        </w:rPr>
        <w:t>MARKET AND INDUSTRY DATA</w:t>
      </w:r>
    </w:p>
    <w:p>
      <w:pPr>
        <w:spacing w:after="0" w:line="216"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11111"/>
        </w:rPr>
        <w:t>Any third-party information included in this prospectus or any document incorporated by reference in this prospectus has been accurately reproduced and, as far as STM is aware and is able to ascertain from the information published by such third parties, the reproduced information is accurate and no facts have been omitted which would render such information inaccurate or misleading. While STM believes such information is reliable, it has not independently verified any third-party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111111"/>
        </w:rPr>
        <w:t>FREQUENTLY USED TERMS</w:t>
      </w:r>
    </w:p>
    <w:p>
      <w:pPr>
        <w:spacing w:after="0" w:line="214"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otherwise stated or unless the context otherwise requires, references to </w:t>
      </w:r>
      <w:r>
        <w:rPr>
          <w:rFonts w:ascii="Times New Roman" w:cs="Times New Roman" w:eastAsia="Times New Roman" w:hAnsi="Times New Roman"/>
          <w:sz w:val="18"/>
          <w:szCs w:val="18"/>
          <w:i w:val="1"/>
          <w:iCs w:val="1"/>
          <w:color w:val="2F2F2F"/>
        </w:rPr>
        <w:t>"We," "Our,"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F2F2F"/>
        </w:rPr>
        <w:t>the “</w:t>
      </w:r>
      <w:r>
        <w:rPr>
          <w:rFonts w:ascii="Times New Roman" w:cs="Times New Roman" w:eastAsia="Times New Roman" w:hAnsi="Times New Roman"/>
          <w:sz w:val="18"/>
          <w:szCs w:val="18"/>
          <w:i w:val="1"/>
          <w:iCs w:val="1"/>
          <w:color w:val="2F2F2F"/>
        </w:rPr>
        <w:t>Company</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i w:val="1"/>
          <w:iCs w:val="1"/>
          <w:color w:val="2F2F2F"/>
        </w:rPr>
        <w:t>STM</w:t>
      </w:r>
      <w:r>
        <w:rPr>
          <w:rFonts w:ascii="Times New Roman" w:cs="Times New Roman" w:eastAsia="Times New Roman" w:hAnsi="Times New Roman"/>
          <w:sz w:val="18"/>
          <w:szCs w:val="18"/>
          <w:color w:val="auto"/>
        </w:rPr>
        <w:t>" generally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STMicroelectronics N.V. and </w:t>
      </w:r>
      <w:r>
        <w:rPr>
          <w:rFonts w:ascii="Times New Roman" w:cs="Times New Roman" w:eastAsia="Times New Roman" w:hAnsi="Times New Roman"/>
          <w:sz w:val="18"/>
          <w:szCs w:val="18"/>
          <w:color w:val="2F2F2F"/>
        </w:rPr>
        <w:t>its</w:t>
      </w:r>
      <w:r>
        <w:rPr>
          <w:rFonts w:ascii="Times New Roman" w:cs="Times New Roman" w:eastAsia="Times New Roman" w:hAnsi="Times New Roman"/>
          <w:sz w:val="18"/>
          <w:szCs w:val="18"/>
          <w:color w:val="auto"/>
        </w:rPr>
        <w:t xml:space="preserve"> consolidated subsidiaries.</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In this document:</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AGM</w:t>
      </w:r>
      <w:r>
        <w:rPr>
          <w:rFonts w:ascii="Times New Roman" w:cs="Times New Roman" w:eastAsia="Times New Roman" w:hAnsi="Times New Roman"/>
          <w:sz w:val="18"/>
          <w:szCs w:val="18"/>
          <w:color w:val="131313"/>
        </w:rPr>
        <w:t>” means the annual general meeting of shareholders of STM.</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Articles</w:t>
      </w:r>
      <w:r>
        <w:rPr>
          <w:rFonts w:ascii="Times New Roman" w:cs="Times New Roman" w:eastAsia="Times New Roman" w:hAnsi="Times New Roman"/>
          <w:sz w:val="18"/>
          <w:szCs w:val="18"/>
          <w:color w:val="131313"/>
        </w:rPr>
        <w:t>" means the articles of association of STM, as amended from time to time.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i w:val="1"/>
          <w:iCs w:val="1"/>
          <w:color w:val="2F2F2F"/>
        </w:rPr>
        <w:t>Code</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131313"/>
        </w:rPr>
        <w:t>means the United States Internal Revenue Code of 1986, as amended.</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Dutch Law</w:t>
      </w:r>
      <w:r>
        <w:rPr>
          <w:rFonts w:ascii="Times New Roman" w:cs="Times New Roman" w:eastAsia="Times New Roman" w:hAnsi="Times New Roman"/>
          <w:sz w:val="18"/>
          <w:szCs w:val="18"/>
          <w:color w:val="131313"/>
        </w:rPr>
        <w:t>" means the provisions of the laws of The Netherlands.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Exchange Act</w:t>
      </w:r>
      <w:r>
        <w:rPr>
          <w:rFonts w:ascii="Times New Roman" w:cs="Times New Roman" w:eastAsia="Times New Roman" w:hAnsi="Times New Roman"/>
          <w:sz w:val="18"/>
          <w:szCs w:val="18"/>
          <w:color w:val="131313"/>
        </w:rPr>
        <w:t>" means the United States Securities Exchange Act of 1934, as amended.</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IRS</w:t>
      </w:r>
      <w:r>
        <w:rPr>
          <w:rFonts w:ascii="Times New Roman" w:cs="Times New Roman" w:eastAsia="Times New Roman" w:hAnsi="Times New Roman"/>
          <w:sz w:val="18"/>
          <w:szCs w:val="18"/>
          <w:color w:val="131313"/>
        </w:rPr>
        <w:t>" means the U.S. Internal Revenue Service.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Managing Board</w:t>
      </w:r>
      <w:r>
        <w:rPr>
          <w:rFonts w:ascii="Times New Roman" w:cs="Times New Roman" w:eastAsia="Times New Roman" w:hAnsi="Times New Roman"/>
          <w:sz w:val="18"/>
          <w:szCs w:val="18"/>
          <w:color w:val="131313"/>
        </w:rPr>
        <w:t>" means the managing board of the Company.</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NYSE</w:t>
      </w:r>
      <w:r>
        <w:rPr>
          <w:rFonts w:ascii="Times New Roman" w:cs="Times New Roman" w:eastAsia="Times New Roman" w:hAnsi="Times New Roman"/>
          <w:sz w:val="18"/>
          <w:szCs w:val="18"/>
          <w:color w:val="131313"/>
        </w:rPr>
        <w:t>" means the New York Stock Exchange.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Ordinary Shares</w:t>
      </w:r>
      <w:r>
        <w:rPr>
          <w:rFonts w:ascii="Times New Roman" w:cs="Times New Roman" w:eastAsia="Times New Roman" w:hAnsi="Times New Roman"/>
          <w:sz w:val="18"/>
          <w:szCs w:val="18"/>
          <w:color w:val="131313"/>
        </w:rPr>
        <w:t>" means ordinary shares of STM, with a nominal value of €0.0 l per share.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PFIC</w:t>
      </w:r>
      <w:r>
        <w:rPr>
          <w:rFonts w:ascii="Times New Roman" w:cs="Times New Roman" w:eastAsia="Times New Roman" w:hAnsi="Times New Roman"/>
          <w:sz w:val="18"/>
          <w:szCs w:val="18"/>
          <w:color w:val="131313"/>
        </w:rPr>
        <w:t>" means a passive foreign investment company.</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SEC</w:t>
      </w:r>
      <w:r>
        <w:rPr>
          <w:rFonts w:ascii="Times New Roman" w:cs="Times New Roman" w:eastAsia="Times New Roman" w:hAnsi="Times New Roman"/>
          <w:sz w:val="18"/>
          <w:szCs w:val="18"/>
          <w:color w:val="131313"/>
        </w:rPr>
        <w:t>" means the United States Securities and Exchange Commission.</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Securities Act</w:t>
      </w:r>
      <w:r>
        <w:rPr>
          <w:rFonts w:ascii="Times New Roman" w:cs="Times New Roman" w:eastAsia="Times New Roman" w:hAnsi="Times New Roman"/>
          <w:sz w:val="18"/>
          <w:szCs w:val="18"/>
          <w:color w:val="131313"/>
        </w:rPr>
        <w:t>" means the United States Securities Act of 1933, as amended.</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Supervisory Board</w:t>
      </w:r>
      <w:r>
        <w:rPr>
          <w:rFonts w:ascii="Times New Roman" w:cs="Times New Roman" w:eastAsia="Times New Roman" w:hAnsi="Times New Roman"/>
          <w:sz w:val="18"/>
          <w:szCs w:val="18"/>
          <w:color w:val="131313"/>
        </w:rPr>
        <w:t>" means the supervisory board of the Company.</w:t>
      </w:r>
    </w:p>
    <w:p>
      <w:pPr>
        <w:spacing w:after="0" w:line="225" w:lineRule="exact"/>
        <w:rPr>
          <w:sz w:val="20"/>
          <w:szCs w:val="20"/>
          <w:color w:val="auto"/>
        </w:rPr>
      </w:pPr>
    </w:p>
    <w:p>
      <w:pPr>
        <w:ind w:firstLine="382"/>
        <w:spacing w:after="0" w:line="268" w:lineRule="auto"/>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Warrant</w:t>
      </w:r>
      <w:r>
        <w:rPr>
          <w:rFonts w:ascii="Times New Roman" w:cs="Times New Roman" w:eastAsia="Times New Roman" w:hAnsi="Times New Roman"/>
          <w:sz w:val="18"/>
          <w:szCs w:val="18"/>
          <w:color w:val="131313"/>
        </w:rPr>
        <w:t>" means a warrant of the Company, exercisable for one Ordinary Share at an exercise price of $28.38 per share, subject to adjustments as described in the Warrant Agreement as set forth under "</w:t>
      </w:r>
      <w:r>
        <w:rPr>
          <w:rFonts w:ascii="Times New Roman" w:cs="Times New Roman" w:eastAsia="Times New Roman" w:hAnsi="Times New Roman"/>
          <w:sz w:val="18"/>
          <w:szCs w:val="18"/>
          <w:i w:val="1"/>
          <w:iCs w:val="1"/>
          <w:color w:val="131313"/>
        </w:rPr>
        <w:t>Description of Securities</w:t>
      </w:r>
      <w:r>
        <w:rPr>
          <w:rFonts w:ascii="Times New Roman" w:cs="Times New Roman" w:eastAsia="Times New Roman" w:hAnsi="Times New Roman"/>
          <w:sz w:val="18"/>
          <w:szCs w:val="18"/>
          <w:color w:val="131313"/>
        </w:rPr>
        <w:t>" in this registration statement.</w:t>
      </w:r>
    </w:p>
    <w:p>
      <w:pPr>
        <w:spacing w:after="0" w:line="159" w:lineRule="exact"/>
        <w:rPr>
          <w:sz w:val="20"/>
          <w:szCs w:val="20"/>
          <w:color w:val="auto"/>
        </w:rPr>
      </w:pPr>
    </w:p>
    <w:p>
      <w:pPr>
        <w:ind w:right="20" w:firstLine="382"/>
        <w:spacing w:after="0" w:line="284" w:lineRule="auto"/>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Warrant Agreement</w:t>
      </w:r>
      <w:r>
        <w:rPr>
          <w:rFonts w:ascii="Times New Roman" w:cs="Times New Roman" w:eastAsia="Times New Roman" w:hAnsi="Times New Roman"/>
          <w:sz w:val="18"/>
          <w:szCs w:val="18"/>
          <w:color w:val="131313"/>
        </w:rPr>
        <w:t>" means the warrant agreement, dated as of February 6, 2026, by and between the Company and Amazon.com NV Investment Holdings LLC (the “Warrantholder”) as warrantholder, filed with the SEC on February 26, 2026 as Exhibit 4.1. to our 2025 Form 20-F.</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Warrant Shares</w:t>
      </w:r>
      <w:r>
        <w:rPr>
          <w:rFonts w:ascii="Times New Roman" w:cs="Times New Roman" w:eastAsia="Times New Roman" w:hAnsi="Times New Roman"/>
          <w:sz w:val="18"/>
          <w:szCs w:val="18"/>
          <w:color w:val="131313"/>
        </w:rPr>
        <w:t>" means the Ordinary Shares to be issued from time to time pursuant to the Warrant Agreement.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i w:val="1"/>
          <w:iCs w:val="1"/>
          <w:color w:val="131313"/>
        </w:rPr>
        <w:t>2025 Form 20-F</w:t>
      </w:r>
      <w:r>
        <w:rPr>
          <w:rFonts w:ascii="Times New Roman" w:cs="Times New Roman" w:eastAsia="Times New Roman" w:hAnsi="Times New Roman"/>
          <w:sz w:val="18"/>
          <w:szCs w:val="18"/>
          <w:color w:val="131313"/>
        </w:rPr>
        <w:t>" means our annual report on Form 20-F for the fiscal year ended December 31, 2025, filed with the SEC on February 26, 2026.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111111"/>
        </w:rPr>
        <w:t>PROSPECTUS SUMMARY</w:t>
      </w:r>
    </w:p>
    <w:p>
      <w:pPr>
        <w:spacing w:after="0" w:line="216" w:lineRule="exact"/>
        <w:rPr>
          <w:sz w:val="20"/>
          <w:szCs w:val="20"/>
          <w:color w:val="auto"/>
        </w:rPr>
      </w:pPr>
    </w:p>
    <w:p>
      <w:pPr>
        <w:jc w:val="both"/>
        <w:ind w:firstLine="382"/>
        <w:spacing w:after="0" w:line="247" w:lineRule="auto"/>
        <w:rPr>
          <w:sz w:val="20"/>
          <w:szCs w:val="20"/>
          <w:color w:val="auto"/>
        </w:rPr>
      </w:pPr>
      <w:r>
        <w:rPr>
          <w:rFonts w:ascii="Times New Roman" w:cs="Times New Roman" w:eastAsia="Times New Roman" w:hAnsi="Times New Roman"/>
          <w:sz w:val="18"/>
          <w:szCs w:val="18"/>
          <w:color w:val="262626"/>
        </w:rPr>
        <w:t xml:space="preserve">This </w:t>
      </w:r>
      <w:r>
        <w:rPr>
          <w:rFonts w:ascii="Times New Roman" w:cs="Times New Roman" w:eastAsia="Times New Roman" w:hAnsi="Times New Roman"/>
          <w:sz w:val="18"/>
          <w:szCs w:val="18"/>
          <w:color w:val="111111"/>
        </w:rPr>
        <w:t>summary highlights</w:t>
      </w:r>
      <w:r>
        <w:rPr>
          <w:rFonts w:ascii="Times New Roman" w:cs="Times New Roman" w:eastAsia="Times New Roman" w:hAnsi="Times New Roman"/>
          <w:sz w:val="18"/>
          <w:szCs w:val="18"/>
          <w:color w:val="262626"/>
        </w:rPr>
        <w:t xml:space="preserve"> selected </w:t>
      </w:r>
      <w:r>
        <w:rPr>
          <w:rFonts w:ascii="Times New Roman" w:cs="Times New Roman" w:eastAsia="Times New Roman" w:hAnsi="Times New Roman"/>
          <w:sz w:val="18"/>
          <w:szCs w:val="18"/>
          <w:color w:val="111111"/>
        </w:rPr>
        <w:t>information contained elsewhere in this prospectus or incorporated by reference</w:t>
      </w:r>
      <w:r>
        <w:rPr>
          <w:rFonts w:ascii="Times New Roman" w:cs="Times New Roman" w:eastAsia="Times New Roman" w:hAnsi="Times New Roman"/>
          <w:sz w:val="18"/>
          <w:szCs w:val="18"/>
          <w:color w:val="262626"/>
        </w:rPr>
        <w:t xml:space="preserve"> in </w:t>
      </w:r>
      <w:r>
        <w:rPr>
          <w:rFonts w:ascii="Times New Roman" w:cs="Times New Roman" w:eastAsia="Times New Roman" w:hAnsi="Times New Roman"/>
          <w:sz w:val="18"/>
          <w:szCs w:val="18"/>
          <w:color w:val="111111"/>
        </w:rPr>
        <w:t>this prospectus. This summary</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111111"/>
        </w:rPr>
        <w:t>does not contain all of the information you should consider before investing in the Company's securities. Before making an investment decision</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11111"/>
        </w:rPr>
        <w:t xml:space="preserve"> you </w:t>
      </w:r>
      <w:r>
        <w:rPr>
          <w:rFonts w:ascii="Times New Roman" w:cs="Times New Roman" w:eastAsia="Times New Roman" w:hAnsi="Times New Roman"/>
          <w:sz w:val="18"/>
          <w:szCs w:val="18"/>
          <w:color w:val="262626"/>
        </w:rPr>
        <w:t>should</w:t>
      </w:r>
      <w:r>
        <w:rPr>
          <w:rFonts w:ascii="Times New Roman" w:cs="Times New Roman" w:eastAsia="Times New Roman" w:hAnsi="Times New Roman"/>
          <w:sz w:val="18"/>
          <w:szCs w:val="18"/>
          <w:color w:val="111111"/>
        </w:rPr>
        <w:t xml:space="preserve"> read this entire prospectus carefully, especially the section entitled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i w:val="1"/>
          <w:iCs w:val="1"/>
          <w:color w:val="262626"/>
        </w:rPr>
        <w:t>Risk</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i w:val="1"/>
          <w:iCs w:val="1"/>
          <w:color w:val="111111"/>
        </w:rPr>
        <w:t>Factors</w:t>
      </w:r>
      <w:r>
        <w:rPr>
          <w:rFonts w:ascii="Times New Roman" w:cs="Times New Roman" w:eastAsia="Times New Roman" w:hAnsi="Times New Roman"/>
          <w:sz w:val="18"/>
          <w:szCs w:val="18"/>
          <w:color w:val="111111"/>
        </w:rPr>
        <w:t>", the financial statements and related notes thereto, the documents incorporated by reference in this prospectus and the other documents to which this prospectus refers. Some of the statements in this prospectus constitute forward-looking statements that involve risks and uncertainties. See "</w:t>
      </w:r>
      <w:r>
        <w:rPr>
          <w:rFonts w:ascii="Times New Roman" w:cs="Times New Roman" w:eastAsia="Times New Roman" w:hAnsi="Times New Roman"/>
          <w:sz w:val="18"/>
          <w:szCs w:val="18"/>
          <w:i w:val="1"/>
          <w:iCs w:val="1"/>
          <w:color w:val="111111"/>
        </w:rPr>
        <w:t>Cautionary Note Regarding Forward-Looking Statements</w:t>
      </w:r>
      <w:r>
        <w:rPr>
          <w:rFonts w:ascii="Times New Roman" w:cs="Times New Roman" w:eastAsia="Times New Roman" w:hAnsi="Times New Roman"/>
          <w:sz w:val="18"/>
          <w:szCs w:val="18"/>
          <w:color w:val="111111"/>
        </w:rPr>
        <w:t>" for more information. See also the section entitled "</w:t>
      </w:r>
      <w:r>
        <w:rPr>
          <w:rFonts w:ascii="Times New Roman" w:cs="Times New Roman" w:eastAsia="Times New Roman" w:hAnsi="Times New Roman"/>
          <w:sz w:val="18"/>
          <w:szCs w:val="18"/>
          <w:i w:val="1"/>
          <w:iCs w:val="1"/>
          <w:color w:val="111111"/>
        </w:rPr>
        <w:t>Where You Can Find More Information</w:t>
      </w:r>
      <w:r>
        <w:rPr>
          <w:rFonts w:ascii="Times New Roman" w:cs="Times New Roman" w:eastAsia="Times New Roman" w:hAnsi="Times New Roman"/>
          <w:sz w:val="18"/>
          <w:szCs w:val="18"/>
          <w:color w:val="111111"/>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111111"/>
        </w:rPr>
        <w:t>We are a global semiconductor company that designs, develops, manufactures and markets a broad range of products used in a wide variety of applications for the four end-markets we address: automotive, industrial, personal electronics and communications equipment, computers and peripherals.</w:t>
      </w:r>
    </w:p>
    <w:p>
      <w:pPr>
        <w:spacing w:after="0" w:line="176"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11111"/>
        </w:rPr>
        <w:t>Our diverse product portfolio includes discrete and general-purpose components, application-specific integrated circuits, full-custom devices and semi-custom devices and application-specific standard products for analog, digital and mixed-signal applications, benefitting from a unique, strong foundation of proprietary and differentiated leading-edge technologies.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1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8"/>
          <w:szCs w:val="18"/>
          <w:color w:val="111111"/>
        </w:rPr>
        <w:t xml:space="preserve">The Company, incorporated under the laws of The Netherlands on May 21, 1987, as a public limited liability company </w:t>
      </w:r>
      <w:r>
        <w:rPr>
          <w:rFonts w:ascii="Times New Roman" w:cs="Times New Roman" w:eastAsia="Times New Roman" w:hAnsi="Times New Roman"/>
          <w:sz w:val="18"/>
          <w:szCs w:val="18"/>
          <w:i w:val="1"/>
          <w:iCs w:val="1"/>
          <w:color w:val="111111"/>
        </w:rPr>
        <w:t>(naamloze vennootschap)</w:t>
      </w:r>
      <w:r>
        <w:rPr>
          <w:rFonts w:ascii="Times New Roman" w:cs="Times New Roman" w:eastAsia="Times New Roman" w:hAnsi="Times New Roman"/>
          <w:sz w:val="18"/>
          <w:szCs w:val="18"/>
          <w:color w:val="111111"/>
        </w:rPr>
        <w:t xml:space="preserve"> with its registered office at WTC Schiphol Airport, Schiphol Boulevard 265, 1118 BH Schiphol, The Netherlands, is registered with the trade register (</w:t>
      </w:r>
      <w:r>
        <w:rPr>
          <w:rFonts w:ascii="Times New Roman" w:cs="Times New Roman" w:eastAsia="Times New Roman" w:hAnsi="Times New Roman"/>
          <w:sz w:val="18"/>
          <w:szCs w:val="18"/>
          <w:i w:val="1"/>
          <w:iCs w:val="1"/>
          <w:color w:val="111111"/>
        </w:rPr>
        <w:t>handelsregister</w:t>
      </w:r>
      <w:r>
        <w:rPr>
          <w:rFonts w:ascii="Times New Roman" w:cs="Times New Roman" w:eastAsia="Times New Roman" w:hAnsi="Times New Roman"/>
          <w:sz w:val="18"/>
          <w:szCs w:val="18"/>
          <w:color w:val="111111"/>
        </w:rPr>
        <w:t>) of the Dutch Chamber of Commerce (</w:t>
      </w:r>
      <w:r>
        <w:rPr>
          <w:rFonts w:ascii="Times New Roman" w:cs="Times New Roman" w:eastAsia="Times New Roman" w:hAnsi="Times New Roman"/>
          <w:sz w:val="18"/>
          <w:szCs w:val="18"/>
          <w:i w:val="1"/>
          <w:iCs w:val="1"/>
          <w:color w:val="111111"/>
        </w:rPr>
        <w:t>Kamer van Koophandel</w:t>
      </w:r>
      <w:r>
        <w:rPr>
          <w:rFonts w:ascii="Times New Roman" w:cs="Times New Roman" w:eastAsia="Times New Roman" w:hAnsi="Times New Roman"/>
          <w:sz w:val="18"/>
          <w:szCs w:val="18"/>
          <w:color w:val="111111"/>
        </w:rPr>
        <w:t>) under registration number 33194537.</w:t>
      </w:r>
    </w:p>
    <w:p>
      <w:pPr>
        <w:spacing w:after="0" w:line="16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11111"/>
        </w:rPr>
        <w:t>The mailing address of the Company's principal executive office is WTC Schiphol Airport, Schiphol Boulevard 265, 1118 BH Schiphol, The Netherlands and its telephone number is +31-20-654-3210. The Company's agent for service in the United States is: Corporation Service Company (CSC), 80 State Street, Albany, New York, 12207 (telephone number: +1 302 421 6100).</w:t>
      </w:r>
    </w:p>
    <w:p>
      <w:pPr>
        <w:spacing w:after="0" w:line="169"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8"/>
          <w:szCs w:val="18"/>
          <w:color w:val="111111"/>
        </w:rPr>
        <w:t>The Company's principal website address i</w:t>
      </w:r>
      <w:r>
        <w:rPr>
          <w:rFonts w:ascii="Times New Roman" w:cs="Times New Roman" w:eastAsia="Times New Roman" w:hAnsi="Times New Roman"/>
          <w:sz w:val="18"/>
          <w:szCs w:val="18"/>
          <w:color w:val="000000"/>
        </w:rPr>
        <w:t>s https://www.st.com.</w:t>
      </w:r>
      <w:r>
        <w:rPr>
          <w:rFonts w:ascii="Times New Roman" w:cs="Times New Roman" w:eastAsia="Times New Roman" w:hAnsi="Times New Roman"/>
          <w:sz w:val="18"/>
          <w:szCs w:val="18"/>
          <w:color w:val="111111"/>
        </w:rPr>
        <w:t xml:space="preserve"> This website and the information contained therein or connected thereto shall not be deemed to be incorporated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Implications of Being a "Foreign Private Issuer"</w:t>
      </w:r>
    </w:p>
    <w:p>
      <w:pPr>
        <w:spacing w:after="0" w:line="21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11111"/>
        </w:rPr>
        <w:t xml:space="preserve">The Company reports under the </w:t>
      </w:r>
      <w:r>
        <w:rPr>
          <w:rFonts w:ascii="Times New Roman" w:cs="Times New Roman" w:eastAsia="Times New Roman" w:hAnsi="Times New Roman"/>
          <w:sz w:val="18"/>
          <w:szCs w:val="18"/>
          <w:color w:val="262626"/>
        </w:rPr>
        <w:t>Exchange</w:t>
      </w:r>
      <w:r>
        <w:rPr>
          <w:rFonts w:ascii="Times New Roman" w:cs="Times New Roman" w:eastAsia="Times New Roman" w:hAnsi="Times New Roman"/>
          <w:sz w:val="18"/>
          <w:szCs w:val="18"/>
          <w:color w:val="111111"/>
        </w:rPr>
        <w:t xml:space="preserve"> Act as a non-U.S. company with foreign private issuer status. As long as we continue to qualify as a foreign private issuer under the Exchange Act, we will be exempt from certain provisions of the Exchange Act that are applicable to U.S. domestic public companies, including:</w:t>
      </w:r>
    </w:p>
    <w:p>
      <w:pPr>
        <w:spacing w:after="0" w:line="169" w:lineRule="exact"/>
        <w:rPr>
          <w:sz w:val="20"/>
          <w:szCs w:val="20"/>
          <w:color w:val="auto"/>
        </w:rPr>
      </w:pPr>
    </w:p>
    <w:p>
      <w:pPr>
        <w:ind w:right="20" w:firstLine="390"/>
        <w:spacing w:after="0" w:line="313" w:lineRule="auto"/>
        <w:tabs>
          <w:tab w:leader="none" w:pos="697" w:val="left"/>
        </w:tabs>
        <w:numPr>
          <w:ilvl w:val="0"/>
          <w:numId w:val="2"/>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the sections of the Exchange Act regulating the solicitation of proxies, consents or authorizations in respect of a security registered under the Exchange Act;</w:t>
      </w:r>
    </w:p>
    <w:p>
      <w:pPr>
        <w:spacing w:after="0" w:line="148" w:lineRule="exact"/>
        <w:rPr>
          <w:rFonts w:ascii="Times New Roman" w:cs="Times New Roman" w:eastAsia="Times New Roman" w:hAnsi="Times New Roman"/>
          <w:sz w:val="18"/>
          <w:szCs w:val="18"/>
          <w:color w:val="111111"/>
        </w:rPr>
      </w:pPr>
    </w:p>
    <w:p>
      <w:pPr>
        <w:ind w:left="640" w:hanging="250"/>
        <w:spacing w:after="0"/>
        <w:tabs>
          <w:tab w:leader="none" w:pos="640" w:val="left"/>
        </w:tabs>
        <w:numPr>
          <w:ilvl w:val="0"/>
          <w:numId w:val="2"/>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the sections of the Exchange Act imposing liability for insiders who profit from trades made in a short period of time;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firstLine="390"/>
        <w:spacing w:after="0" w:line="313" w:lineRule="auto"/>
        <w:tabs>
          <w:tab w:leader="none" w:pos="625" w:val="left"/>
        </w:tabs>
        <w:numPr>
          <w:ilvl w:val="0"/>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the rules under the Exchange Act requiring the filing of quarterly reports with the SEC on Form 10-Q containing unaudited financial and other specified information, or current reports on Form 8-K, upon the occurrence of specified significant events.</w:t>
      </w:r>
    </w:p>
    <w:p>
      <w:pPr>
        <w:spacing w:after="0" w:line="149"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131313"/>
        </w:rPr>
        <w:t>In addition, we are not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spacing w:after="0" w:line="162" w:lineRule="exact"/>
        <w:rPr>
          <w:sz w:val="20"/>
          <w:szCs w:val="20"/>
          <w:color w:val="auto"/>
        </w:rPr>
      </w:pPr>
    </w:p>
    <w:p>
      <w:pPr>
        <w:ind w:firstLine="382"/>
        <w:spacing w:after="0" w:line="282" w:lineRule="auto"/>
        <w:rPr>
          <w:sz w:val="20"/>
          <w:szCs w:val="20"/>
          <w:color w:val="auto"/>
        </w:rPr>
      </w:pPr>
      <w:r>
        <w:rPr>
          <w:rFonts w:ascii="Times New Roman" w:cs="Times New Roman" w:eastAsia="Times New Roman" w:hAnsi="Times New Roman"/>
          <w:sz w:val="18"/>
          <w:szCs w:val="18"/>
          <w:color w:val="131313"/>
        </w:rPr>
        <w:t>Further, we are exempt from certain corporate governance requirements of NYSE by virtue of being a foreign private issuer. As a foreign private issuer, we are permitted to follow the corporate governance practices of our home country in lieu of certain provisions of the NYSE Standards.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131313"/>
        </w:rPr>
        <w:t>SUMMARY TERMS OF THE OFFERING</w:t>
      </w:r>
    </w:p>
    <w:p>
      <w:pPr>
        <w:spacing w:after="0" w:line="227" w:lineRule="exact"/>
        <w:rPr>
          <w:sz w:val="20"/>
          <w:szCs w:val="20"/>
          <w:color w:val="auto"/>
        </w:rPr>
      </w:pPr>
    </w:p>
    <w:p>
      <w:pPr>
        <w:ind w:firstLine="382"/>
        <w:spacing w:after="0" w:line="268" w:lineRule="auto"/>
        <w:rPr>
          <w:sz w:val="20"/>
          <w:szCs w:val="20"/>
          <w:color w:val="auto"/>
        </w:rPr>
      </w:pPr>
      <w:r>
        <w:rPr>
          <w:rFonts w:ascii="Times New Roman" w:cs="Times New Roman" w:eastAsia="Times New Roman" w:hAnsi="Times New Roman"/>
          <w:sz w:val="18"/>
          <w:szCs w:val="18"/>
          <w:i w:val="1"/>
          <w:iCs w:val="1"/>
          <w:color w:val="131313"/>
        </w:rPr>
        <w:t>The summary below describes the principal terms of the offering. The "Description of Securities" section of this prospectus contains a more detailed description of the Company's Ordinary Shares.</w:t>
      </w:r>
    </w:p>
    <w:p>
      <w:pPr>
        <w:spacing w:after="0" w:line="161" w:lineRule="exact"/>
        <w:rPr>
          <w:sz w:val="20"/>
          <w:szCs w:val="20"/>
          <w:color w:val="auto"/>
        </w:rPr>
      </w:pPr>
    </w:p>
    <w:p>
      <w:pPr>
        <w:ind w:firstLine="382"/>
        <w:spacing w:after="0" w:line="282" w:lineRule="auto"/>
        <w:rPr>
          <w:sz w:val="20"/>
          <w:szCs w:val="20"/>
          <w:color w:val="auto"/>
        </w:rPr>
      </w:pPr>
      <w:r>
        <w:rPr>
          <w:rFonts w:ascii="Times New Roman" w:cs="Times New Roman" w:eastAsia="Times New Roman" w:hAnsi="Times New Roman"/>
          <w:sz w:val="18"/>
          <w:szCs w:val="18"/>
          <w:color w:val="auto"/>
        </w:rPr>
        <w:t>We are registering the offer and resale, from time to time, by the Selling Securityholder or its permitted transferees, of up to 24,755,584 Ordinary Shares of STMicroelectronics N.V</w:t>
      </w:r>
      <w:r>
        <w:rPr>
          <w:rFonts w:ascii="Times New Roman" w:cs="Times New Roman" w:eastAsia="Times New Roman" w:hAnsi="Times New Roman"/>
          <w:sz w:val="18"/>
          <w:szCs w:val="18"/>
          <w:color w:val="131313"/>
        </w:rPr>
        <w:t>.</w:t>
      </w:r>
    </w:p>
    <w:p>
      <w:pPr>
        <w:spacing w:after="0" w:line="146" w:lineRule="exact"/>
        <w:rPr>
          <w:sz w:val="20"/>
          <w:szCs w:val="20"/>
          <w:color w:val="auto"/>
        </w:rPr>
      </w:pPr>
    </w:p>
    <w:p>
      <w:pPr>
        <w:ind w:firstLine="382"/>
        <w:spacing w:after="0" w:line="268" w:lineRule="auto"/>
        <w:rPr>
          <w:sz w:val="20"/>
          <w:szCs w:val="20"/>
          <w:color w:val="auto"/>
        </w:rPr>
      </w:pPr>
      <w:r>
        <w:rPr>
          <w:rFonts w:ascii="Times New Roman" w:cs="Times New Roman" w:eastAsia="Times New Roman" w:hAnsi="Times New Roman"/>
          <w:sz w:val="18"/>
          <w:szCs w:val="18"/>
          <w:color w:val="131313"/>
        </w:rPr>
        <w:t xml:space="preserve">Any investment in the securities offered hereby involves a high degree of risk. You should carefully consider the information set forth under </w:t>
      </w:r>
      <w:r>
        <w:rPr>
          <w:rFonts w:ascii="Times New Roman" w:cs="Times New Roman" w:eastAsia="Times New Roman" w:hAnsi="Times New Roman"/>
          <w:sz w:val="18"/>
          <w:szCs w:val="18"/>
          <w:i w:val="1"/>
          <w:iCs w:val="1"/>
          <w:color w:val="131313"/>
        </w:rPr>
        <w:t>"Risk</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i w:val="1"/>
          <w:iCs w:val="1"/>
          <w:color w:val="131313"/>
        </w:rPr>
        <w:t xml:space="preserve">Factors" </w:t>
      </w:r>
      <w:r>
        <w:rPr>
          <w:rFonts w:ascii="Times New Roman" w:cs="Times New Roman" w:eastAsia="Times New Roman" w:hAnsi="Times New Roman"/>
          <w:sz w:val="18"/>
          <w:szCs w:val="18"/>
          <w:color w:val="131313"/>
        </w:rPr>
        <w:t>on page 14 of this prospectus.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Offered by the Selling Securityholder</w:t>
            </w: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 to 24,755,584</w:t>
            </w:r>
          </w:p>
        </w:tc>
      </w:tr>
      <w:tr>
        <w:trPr>
          <w:trHeight w:val="36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 may be issued upon</w:t>
            </w: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Ordinary Shares offered by the Selling Securityholder under this prospectus may be</w:t>
            </w:r>
          </w:p>
        </w:tc>
      </w:tr>
      <w:tr>
        <w:trPr>
          <w:trHeight w:val="201"/>
        </w:trPr>
        <w:tc>
          <w:tcPr>
            <w:tcW w:w="4280" w:type="dxa"/>
            <w:vAlign w:val="bottom"/>
          </w:tcPr>
          <w:p>
            <w:pPr>
              <w:spacing w:after="0"/>
              <w:rPr>
                <w:sz w:val="17"/>
                <w:szCs w:val="17"/>
                <w:color w:val="auto"/>
              </w:rPr>
            </w:pPr>
          </w:p>
        </w:tc>
        <w:tc>
          <w:tcPr>
            <w:tcW w:w="696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offered and sold at prevailing market prices, privately negotiated prices or such other prices</w:t>
            </w:r>
          </w:p>
        </w:tc>
      </w:tr>
      <w:tr>
        <w:trPr>
          <w:trHeight w:val="216"/>
        </w:trPr>
        <w:tc>
          <w:tcPr>
            <w:tcW w:w="428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the  Selling  Securityholder  may  determine.  See  the  section  entitled  “</w:t>
            </w:r>
            <w:r>
              <w:rPr>
                <w:rFonts w:ascii="Times New Roman" w:cs="Times New Roman" w:eastAsia="Times New Roman" w:hAnsi="Times New Roman"/>
                <w:sz w:val="18"/>
                <w:szCs w:val="18"/>
                <w:i w:val="1"/>
                <w:iCs w:val="1"/>
                <w:color w:val="auto"/>
              </w:rPr>
              <w:t>Plan  of</w:t>
            </w:r>
          </w:p>
        </w:tc>
      </w:tr>
      <w:tr>
        <w:trPr>
          <w:trHeight w:val="236"/>
        </w:trPr>
        <w:tc>
          <w:tcPr>
            <w:tcW w:w="428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tc>
      </w:tr>
      <w:tr>
        <w:trPr>
          <w:trHeight w:val="36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w:t>
            </w:r>
          </w:p>
        </w:tc>
      </w:tr>
      <w:tr>
        <w:trPr>
          <w:trHeight w:val="234"/>
        </w:trPr>
        <w:tc>
          <w:tcPr>
            <w:tcW w:w="428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Securityholder.</w:t>
            </w:r>
          </w:p>
        </w:tc>
      </w:tr>
      <w:tr>
        <w:trPr>
          <w:trHeight w:val="37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have paid, and intend to continue to pay, an interim dividend on our Ordinary Shares</w:t>
            </w:r>
          </w:p>
        </w:tc>
      </w:tr>
      <w:tr>
        <w:trPr>
          <w:trHeight w:val="201"/>
        </w:trPr>
        <w:tc>
          <w:tcPr>
            <w:tcW w:w="4280" w:type="dxa"/>
            <w:vAlign w:val="bottom"/>
          </w:tcPr>
          <w:p>
            <w:pPr>
              <w:spacing w:after="0"/>
              <w:rPr>
                <w:sz w:val="17"/>
                <w:szCs w:val="17"/>
                <w:color w:val="auto"/>
              </w:rPr>
            </w:pPr>
          </w:p>
        </w:tc>
        <w:tc>
          <w:tcPr>
            <w:tcW w:w="69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on a quarterly basis in 2026; however, decisions in relation to our dividend policy are</w:t>
            </w:r>
          </w:p>
        </w:tc>
      </w:tr>
      <w:tr>
        <w:trPr>
          <w:trHeight w:val="236"/>
        </w:trPr>
        <w:tc>
          <w:tcPr>
            <w:tcW w:w="428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determined by our Board.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tc>
      </w:tr>
      <w:tr>
        <w:trPr>
          <w:trHeight w:val="40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Market for our securities</w:t>
            </w: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Ordinary Shares are listed on the NYSE under the symbol “STM”.</w:t>
            </w:r>
          </w:p>
        </w:tc>
      </w:tr>
      <w:tr>
        <w:trPr>
          <w:trHeight w:val="36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w:t>
            </w:r>
          </w:p>
        </w:tc>
      </w:tr>
      <w:tr>
        <w:trPr>
          <w:trHeight w:val="234"/>
        </w:trPr>
        <w:tc>
          <w:tcPr>
            <w:tcW w:w="428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description of certain of the risks you should consider before investing in the Company.</w:t>
            </w:r>
          </w:p>
        </w:tc>
      </w:tr>
      <w:tr>
        <w:trPr>
          <w:trHeight w:val="655"/>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110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131313"/>
        </w:rPr>
        <w:t>CAUTIONARY NOTE REGARDING FORWARD-LOOKING STATEMENTS</w:t>
      </w:r>
    </w:p>
    <w:p>
      <w:pPr>
        <w:spacing w:after="0" w:line="229" w:lineRule="exact"/>
        <w:rPr>
          <w:sz w:val="20"/>
          <w:szCs w:val="20"/>
          <w:color w:val="auto"/>
        </w:rPr>
      </w:pPr>
    </w:p>
    <w:p>
      <w:pPr>
        <w:jc w:val="both"/>
        <w:ind w:firstLine="382"/>
        <w:spacing w:after="0" w:line="242" w:lineRule="auto"/>
        <w:rPr>
          <w:sz w:val="20"/>
          <w:szCs w:val="20"/>
          <w:color w:val="auto"/>
        </w:rPr>
      </w:pPr>
      <w:r>
        <w:rPr>
          <w:rFonts w:ascii="Times New Roman" w:cs="Times New Roman" w:eastAsia="Times New Roman" w:hAnsi="Times New Roman"/>
          <w:sz w:val="18"/>
          <w:szCs w:val="18"/>
          <w:color w:val="131313"/>
        </w:rPr>
        <w:t>This prospectus and the documents incorporated herein by reference include statements that are</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or may be deemed to be</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"forward-looking statements" within the meaning of the U.S. federal securities </w:t>
      </w:r>
      <w:r>
        <w:rPr>
          <w:rFonts w:ascii="Times New Roman" w:cs="Times New Roman" w:eastAsia="Times New Roman" w:hAnsi="Times New Roman"/>
          <w:sz w:val="18"/>
          <w:szCs w:val="18"/>
          <w:color w:val="030303"/>
        </w:rPr>
        <w:t>laws,</w:t>
      </w:r>
      <w:r>
        <w:rPr>
          <w:rFonts w:ascii="Times New Roman" w:cs="Times New Roman" w:eastAsia="Times New Roman" w:hAnsi="Times New Roman"/>
          <w:sz w:val="18"/>
          <w:szCs w:val="18"/>
          <w:color w:val="131313"/>
        </w:rPr>
        <w:t xml:space="preserve"> including statements under the heading </w:t>
      </w:r>
      <w:r>
        <w:rPr>
          <w:rFonts w:ascii="Times New Roman" w:cs="Times New Roman" w:eastAsia="Times New Roman" w:hAnsi="Times New Roman"/>
          <w:sz w:val="18"/>
          <w:szCs w:val="18"/>
          <w:i w:val="1"/>
          <w:iCs w:val="1"/>
          <w:color w:val="131313"/>
        </w:rPr>
        <w:t>"Ri</w:t>
      </w:r>
      <w:r>
        <w:rPr>
          <w:rFonts w:ascii="Times New Roman" w:cs="Times New Roman" w:eastAsia="Times New Roman" w:hAnsi="Times New Roman"/>
          <w:sz w:val="18"/>
          <w:szCs w:val="18"/>
          <w:i w:val="1"/>
          <w:iCs w:val="1"/>
          <w:color w:val="343131"/>
        </w:rPr>
        <w:t>s</w:t>
      </w:r>
      <w:r>
        <w:rPr>
          <w:rFonts w:ascii="Times New Roman" w:cs="Times New Roman" w:eastAsia="Times New Roman" w:hAnsi="Times New Roman"/>
          <w:sz w:val="18"/>
          <w:szCs w:val="18"/>
          <w:i w:val="1"/>
          <w:iCs w:val="1"/>
          <w:color w:val="131313"/>
        </w:rPr>
        <w:t>k Fa</w:t>
      </w:r>
      <w:r>
        <w:rPr>
          <w:rFonts w:ascii="Times New Roman" w:cs="Times New Roman" w:eastAsia="Times New Roman" w:hAnsi="Times New Roman"/>
          <w:sz w:val="18"/>
          <w:szCs w:val="18"/>
          <w:i w:val="1"/>
          <w:iCs w:val="1"/>
          <w:color w:val="343131"/>
        </w:rPr>
        <w:t>c</w:t>
      </w:r>
      <w:r>
        <w:rPr>
          <w:rFonts w:ascii="Times New Roman" w:cs="Times New Roman" w:eastAsia="Times New Roman" w:hAnsi="Times New Roman"/>
          <w:sz w:val="18"/>
          <w:szCs w:val="18"/>
          <w:i w:val="1"/>
          <w:iCs w:val="1"/>
          <w:color w:val="131313"/>
        </w:rPr>
        <w:t>tors</w:t>
      </w:r>
      <w:r>
        <w:rPr>
          <w:rFonts w:ascii="Times New Roman" w:cs="Times New Roman" w:eastAsia="Times New Roman" w:hAnsi="Times New Roman"/>
          <w:sz w:val="18"/>
          <w:szCs w:val="18"/>
          <w:i w:val="1"/>
          <w:iCs w:val="1"/>
          <w:color w:val="343131"/>
        </w:rPr>
        <w:t>,</w:t>
      </w:r>
      <w:r>
        <w:rPr>
          <w:rFonts w:ascii="Times New Roman" w:cs="Times New Roman" w:eastAsia="Times New Roman" w:hAnsi="Times New Roman"/>
          <w:sz w:val="18"/>
          <w:szCs w:val="18"/>
          <w:i w:val="1"/>
          <w:iCs w:val="1"/>
          <w:color w:val="131313"/>
        </w:rPr>
        <w:t>"</w:t>
      </w:r>
      <w:r>
        <w:rPr>
          <w:rFonts w:ascii="Times New Roman" w:cs="Times New Roman" w:eastAsia="Times New Roman" w:hAnsi="Times New Roman"/>
          <w:sz w:val="18"/>
          <w:szCs w:val="18"/>
          <w:color w:val="131313"/>
        </w:rPr>
        <w:t xml:space="preserve"> statements of future expectations and other forward-looking statements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Forward-looking statements can be identified by the use of forward-</w:t>
      </w:r>
      <w:r>
        <w:rPr>
          <w:rFonts w:ascii="Times New Roman" w:cs="Times New Roman" w:eastAsia="Times New Roman" w:hAnsi="Times New Roman"/>
          <w:sz w:val="18"/>
          <w:szCs w:val="18"/>
          <w:color w:val="030303"/>
        </w:rPr>
        <w:t>looking</w:t>
      </w:r>
      <w:r>
        <w:rPr>
          <w:rFonts w:ascii="Times New Roman" w:cs="Times New Roman" w:eastAsia="Times New Roman" w:hAnsi="Times New Roman"/>
          <w:sz w:val="18"/>
          <w:szCs w:val="18"/>
          <w:color w:val="131313"/>
        </w:rPr>
        <w:t xml:space="preserve"> terminology such as "aim," "anticipate," "believe," "continue,</w:t>
      </w:r>
      <w:r>
        <w:rPr>
          <w:rFonts w:ascii="Times New Roman" w:cs="Times New Roman" w:eastAsia="Times New Roman" w:hAnsi="Times New Roman"/>
          <w:sz w:val="18"/>
          <w:szCs w:val="18"/>
          <w:color w:val="343131"/>
        </w:rPr>
        <w:t>" "</w:t>
      </w:r>
      <w:r>
        <w:rPr>
          <w:rFonts w:ascii="Times New Roman" w:cs="Times New Roman" w:eastAsia="Times New Roman" w:hAnsi="Times New Roman"/>
          <w:sz w:val="18"/>
          <w:szCs w:val="18"/>
          <w:color w:val="131313"/>
        </w:rPr>
        <w:t xml:space="preserve">could," "estimate," "expect," </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forecast," </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future," "guidance," "intend," "may,</w:t>
      </w:r>
      <w:r>
        <w:rPr>
          <w:rFonts w:ascii="Times New Roman" w:cs="Times New Roman" w:eastAsia="Times New Roman" w:hAnsi="Times New Roman"/>
          <w:sz w:val="18"/>
          <w:szCs w:val="18"/>
          <w:color w:val="343131"/>
        </w:rPr>
        <w:t>" "</w:t>
      </w:r>
      <w:r>
        <w:rPr>
          <w:rFonts w:ascii="Times New Roman" w:cs="Times New Roman" w:eastAsia="Times New Roman" w:hAnsi="Times New Roman"/>
          <w:sz w:val="18"/>
          <w:szCs w:val="18"/>
          <w:color w:val="131313"/>
        </w:rPr>
        <w:t xml:space="preserve">opportunity," </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plan," </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potential," </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predict," </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projected," "should," "strategy,"</w:t>
      </w:r>
      <w:r>
        <w:rPr>
          <w:rFonts w:ascii="Times New Roman" w:cs="Times New Roman" w:eastAsia="Times New Roman" w:hAnsi="Times New Roman"/>
          <w:sz w:val="18"/>
          <w:szCs w:val="18"/>
          <w:color w:val="343131"/>
        </w:rPr>
        <w:t xml:space="preserve"> "</w:t>
      </w:r>
      <w:r>
        <w:rPr>
          <w:rFonts w:ascii="Times New Roman" w:cs="Times New Roman" w:eastAsia="Times New Roman" w:hAnsi="Times New Roman"/>
          <w:sz w:val="18"/>
          <w:szCs w:val="18"/>
          <w:color w:val="131313"/>
        </w:rPr>
        <w:t>suggests," "targets,"</w:t>
      </w:r>
      <w:r>
        <w:rPr>
          <w:rFonts w:ascii="Times New Roman" w:cs="Times New Roman" w:eastAsia="Times New Roman" w:hAnsi="Times New Roman"/>
          <w:sz w:val="18"/>
          <w:szCs w:val="18"/>
          <w:color w:val="343131"/>
        </w:rPr>
        <w:t xml:space="preserve"> "</w:t>
      </w:r>
      <w:r>
        <w:rPr>
          <w:rFonts w:ascii="Times New Roman" w:cs="Times New Roman" w:eastAsia="Times New Roman" w:hAnsi="Times New Roman"/>
          <w:sz w:val="18"/>
          <w:szCs w:val="18"/>
          <w:color w:val="131313"/>
        </w:rPr>
        <w:t>will</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color w:val="343131"/>
        </w:rPr>
        <w:t xml:space="preserve"> "</w:t>
      </w:r>
      <w:r>
        <w:rPr>
          <w:rFonts w:ascii="Times New Roman" w:cs="Times New Roman" w:eastAsia="Times New Roman" w:hAnsi="Times New Roman"/>
          <w:sz w:val="18"/>
          <w:szCs w:val="18"/>
          <w:color w:val="131313"/>
        </w:rPr>
        <w:t>will be" or "would" or similar expressions or the negatives</w:t>
      </w:r>
      <w:r>
        <w:rPr>
          <w:rFonts w:ascii="Times New Roman" w:cs="Times New Roman" w:eastAsia="Times New Roman" w:hAnsi="Times New Roman"/>
          <w:sz w:val="18"/>
          <w:szCs w:val="18"/>
          <w:color w:val="343131"/>
        </w:rPr>
        <w:t xml:space="preserve"> thereof, or other variations thereof</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43131"/>
        </w:rPr>
        <w:t xml:space="preserve"> or comparable termino</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43131"/>
        </w:rPr>
        <w:t xml:space="preserve">ogy, or </w:t>
      </w:r>
      <w:r>
        <w:rPr>
          <w:rFonts w:ascii="Times New Roman" w:cs="Times New Roman" w:eastAsia="Times New Roman" w:hAnsi="Times New Roman"/>
          <w:sz w:val="18"/>
          <w:szCs w:val="18"/>
          <w:color w:val="131313"/>
        </w:rPr>
        <w:t>b</w:t>
      </w:r>
      <w:r>
        <w:rPr>
          <w:rFonts w:ascii="Times New Roman" w:cs="Times New Roman" w:eastAsia="Times New Roman" w:hAnsi="Times New Roman"/>
          <w:sz w:val="18"/>
          <w:szCs w:val="18"/>
          <w:color w:val="343131"/>
        </w:rPr>
        <w:t>y discussions of strategy, plans or intentions</w:t>
      </w: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color w:val="343131"/>
        </w:rPr>
        <w:t xml:space="preserve"> These forward</w:t>
      </w: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color w:val="343131"/>
        </w:rPr>
        <w:t>looking statements include a</w:t>
      </w:r>
      <w:r>
        <w:rPr>
          <w:rFonts w:ascii="Times New Roman" w:cs="Times New Roman" w:eastAsia="Times New Roman" w:hAnsi="Times New Roman"/>
          <w:sz w:val="18"/>
          <w:szCs w:val="18"/>
          <w:color w:val="131313"/>
        </w:rPr>
        <w:t>ll</w:t>
      </w:r>
      <w:r>
        <w:rPr>
          <w:rFonts w:ascii="Times New Roman" w:cs="Times New Roman" w:eastAsia="Times New Roman" w:hAnsi="Times New Roman"/>
          <w:sz w:val="18"/>
          <w:szCs w:val="18"/>
          <w:color w:val="343131"/>
        </w:rPr>
        <w:t xml:space="preserve"> matters that are not historica</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43131"/>
        </w:rPr>
        <w:t xml:space="preserve"> facts. They a</w:t>
      </w:r>
      <w:r>
        <w:rPr>
          <w:rFonts w:ascii="Times New Roman" w:cs="Times New Roman" w:eastAsia="Times New Roman" w:hAnsi="Times New Roman"/>
          <w:sz w:val="18"/>
          <w:szCs w:val="18"/>
          <w:color w:val="131313"/>
        </w:rPr>
        <w:t>p</w:t>
      </w:r>
      <w:r>
        <w:rPr>
          <w:rFonts w:ascii="Times New Roman" w:cs="Times New Roman" w:eastAsia="Times New Roman" w:hAnsi="Times New Roman"/>
          <w:sz w:val="18"/>
          <w:szCs w:val="18"/>
          <w:color w:val="343131"/>
        </w:rPr>
        <w:t>pear in a num</w:t>
      </w:r>
      <w:r>
        <w:rPr>
          <w:rFonts w:ascii="Times New Roman" w:cs="Times New Roman" w:eastAsia="Times New Roman" w:hAnsi="Times New Roman"/>
          <w:sz w:val="18"/>
          <w:szCs w:val="18"/>
          <w:color w:val="131313"/>
        </w:rPr>
        <w:t>b</w:t>
      </w:r>
      <w:r>
        <w:rPr>
          <w:rFonts w:ascii="Times New Roman" w:cs="Times New Roman" w:eastAsia="Times New Roman" w:hAnsi="Times New Roman"/>
          <w:sz w:val="18"/>
          <w:szCs w:val="18"/>
          <w:color w:val="343131"/>
        </w:rPr>
        <w:t>er of p</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43131"/>
        </w:rPr>
        <w:t>aces throughout this prospectus and inclu</w:t>
      </w:r>
      <w:r>
        <w:rPr>
          <w:rFonts w:ascii="Times New Roman" w:cs="Times New Roman" w:eastAsia="Times New Roman" w:hAnsi="Times New Roman"/>
          <w:sz w:val="18"/>
          <w:szCs w:val="18"/>
          <w:color w:val="131313"/>
        </w:rPr>
        <w:t>d</w:t>
      </w:r>
      <w:r>
        <w:rPr>
          <w:rFonts w:ascii="Times New Roman" w:cs="Times New Roman" w:eastAsia="Times New Roman" w:hAnsi="Times New Roman"/>
          <w:sz w:val="18"/>
          <w:szCs w:val="18"/>
          <w:color w:val="343131"/>
        </w:rPr>
        <w:t>e statements regarding the intentions</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43131"/>
        </w:rPr>
        <w:t xml:space="preserve"> </w:t>
      </w:r>
      <w:r>
        <w:rPr>
          <w:rFonts w:ascii="Times New Roman" w:cs="Times New Roman" w:eastAsia="Times New Roman" w:hAnsi="Times New Roman"/>
          <w:sz w:val="18"/>
          <w:szCs w:val="18"/>
          <w:color w:val="131313"/>
        </w:rPr>
        <w:t>b</w:t>
      </w:r>
      <w:r>
        <w:rPr>
          <w:rFonts w:ascii="Times New Roman" w:cs="Times New Roman" w:eastAsia="Times New Roman" w:hAnsi="Times New Roman"/>
          <w:sz w:val="18"/>
          <w:szCs w:val="18"/>
          <w:color w:val="343131"/>
        </w:rPr>
        <w:t>eliefs or c</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43131"/>
        </w:rPr>
        <w:t>rrent expectations of management concerning, among o</w:t>
      </w:r>
      <w:r>
        <w:rPr>
          <w:rFonts w:ascii="Times New Roman" w:cs="Times New Roman" w:eastAsia="Times New Roman" w:hAnsi="Times New Roman"/>
          <w:sz w:val="18"/>
          <w:szCs w:val="18"/>
          <w:color w:val="131313"/>
        </w:rPr>
        <w:t>th</w:t>
      </w:r>
      <w:r>
        <w:rPr>
          <w:rFonts w:ascii="Times New Roman" w:cs="Times New Roman" w:eastAsia="Times New Roman" w:hAnsi="Times New Roman"/>
          <w:sz w:val="18"/>
          <w:szCs w:val="18"/>
          <w:color w:val="343131"/>
        </w:rPr>
        <w:t>er things, res</w:t>
      </w:r>
      <w:r>
        <w:rPr>
          <w:rFonts w:ascii="Times New Roman" w:cs="Times New Roman" w:eastAsia="Times New Roman" w:hAnsi="Times New Roman"/>
          <w:sz w:val="18"/>
          <w:szCs w:val="18"/>
          <w:color w:val="131313"/>
        </w:rPr>
        <w:t>ult</w:t>
      </w:r>
      <w:r>
        <w:rPr>
          <w:rFonts w:ascii="Times New Roman" w:cs="Times New Roman" w:eastAsia="Times New Roman" w:hAnsi="Times New Roman"/>
          <w:sz w:val="18"/>
          <w:szCs w:val="18"/>
          <w:color w:val="343131"/>
        </w:rPr>
        <w:t>s of o</w:t>
      </w:r>
      <w:r>
        <w:rPr>
          <w:rFonts w:ascii="Times New Roman" w:cs="Times New Roman" w:eastAsia="Times New Roman" w:hAnsi="Times New Roman"/>
          <w:sz w:val="18"/>
          <w:szCs w:val="18"/>
          <w:color w:val="131313"/>
        </w:rPr>
        <w:t>p</w:t>
      </w:r>
      <w:r>
        <w:rPr>
          <w:rFonts w:ascii="Times New Roman" w:cs="Times New Roman" w:eastAsia="Times New Roman" w:hAnsi="Times New Roman"/>
          <w:sz w:val="18"/>
          <w:szCs w:val="18"/>
          <w:color w:val="343131"/>
        </w:rPr>
        <w:t>era</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43131"/>
        </w:rPr>
        <w:t>io</w:t>
      </w:r>
      <w:r>
        <w:rPr>
          <w:rFonts w:ascii="Times New Roman" w:cs="Times New Roman" w:eastAsia="Times New Roman" w:hAnsi="Times New Roman"/>
          <w:sz w:val="18"/>
          <w:szCs w:val="18"/>
          <w:color w:val="131313"/>
        </w:rPr>
        <w:t>n</w:t>
      </w:r>
      <w:r>
        <w:rPr>
          <w:rFonts w:ascii="Times New Roman" w:cs="Times New Roman" w:eastAsia="Times New Roman" w:hAnsi="Times New Roman"/>
          <w:sz w:val="18"/>
          <w:szCs w:val="18"/>
          <w:color w:val="343131"/>
        </w:rPr>
        <w:t>s</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43131"/>
        </w:rPr>
        <w:t xml:space="preserve"> fi</w:t>
      </w:r>
      <w:r>
        <w:rPr>
          <w:rFonts w:ascii="Times New Roman" w:cs="Times New Roman" w:eastAsia="Times New Roman" w:hAnsi="Times New Roman"/>
          <w:sz w:val="18"/>
          <w:szCs w:val="18"/>
          <w:color w:val="131313"/>
        </w:rPr>
        <w:t>n</w:t>
      </w:r>
      <w:r>
        <w:rPr>
          <w:rFonts w:ascii="Times New Roman" w:cs="Times New Roman" w:eastAsia="Times New Roman" w:hAnsi="Times New Roman"/>
          <w:sz w:val="18"/>
          <w:szCs w:val="18"/>
          <w:color w:val="343131"/>
        </w:rPr>
        <w:t>ancia</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43131"/>
        </w:rPr>
        <w:t xml:space="preserve"> condit</w:t>
      </w:r>
      <w:r>
        <w:rPr>
          <w:rFonts w:ascii="Times New Roman" w:cs="Times New Roman" w:eastAsia="Times New Roman" w:hAnsi="Times New Roman"/>
          <w:sz w:val="18"/>
          <w:szCs w:val="18"/>
          <w:color w:val="131313"/>
        </w:rPr>
        <w:t>i</w:t>
      </w:r>
      <w:r>
        <w:rPr>
          <w:rFonts w:ascii="Times New Roman" w:cs="Times New Roman" w:eastAsia="Times New Roman" w:hAnsi="Times New Roman"/>
          <w:sz w:val="18"/>
          <w:szCs w:val="18"/>
          <w:color w:val="343131"/>
        </w:rPr>
        <w:t>on</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43131"/>
        </w:rPr>
        <w:t xml:space="preserve"> liq</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43131"/>
        </w:rPr>
        <w:t>i</w:t>
      </w:r>
      <w:r>
        <w:rPr>
          <w:rFonts w:ascii="Times New Roman" w:cs="Times New Roman" w:eastAsia="Times New Roman" w:hAnsi="Times New Roman"/>
          <w:sz w:val="18"/>
          <w:szCs w:val="18"/>
          <w:color w:val="131313"/>
        </w:rPr>
        <w:t>di</w:t>
      </w:r>
      <w:r>
        <w:rPr>
          <w:rFonts w:ascii="Times New Roman" w:cs="Times New Roman" w:eastAsia="Times New Roman" w:hAnsi="Times New Roman"/>
          <w:sz w:val="18"/>
          <w:szCs w:val="18"/>
          <w:color w:val="343131"/>
        </w:rPr>
        <w:t xml:space="preserve">ty, </w:t>
      </w:r>
      <w:r>
        <w:rPr>
          <w:rFonts w:ascii="Times New Roman" w:cs="Times New Roman" w:eastAsia="Times New Roman" w:hAnsi="Times New Roman"/>
          <w:sz w:val="18"/>
          <w:szCs w:val="18"/>
          <w:color w:val="131313"/>
        </w:rPr>
        <w:t>p</w:t>
      </w:r>
      <w:r>
        <w:rPr>
          <w:rFonts w:ascii="Times New Roman" w:cs="Times New Roman" w:eastAsia="Times New Roman" w:hAnsi="Times New Roman"/>
          <w:sz w:val="18"/>
          <w:szCs w:val="18"/>
          <w:color w:val="343131"/>
        </w:rPr>
        <w:t>ros</w:t>
      </w:r>
      <w:r>
        <w:rPr>
          <w:rFonts w:ascii="Times New Roman" w:cs="Times New Roman" w:eastAsia="Times New Roman" w:hAnsi="Times New Roman"/>
          <w:sz w:val="18"/>
          <w:szCs w:val="18"/>
          <w:color w:val="131313"/>
        </w:rPr>
        <w:t>p</w:t>
      </w:r>
      <w:r>
        <w:rPr>
          <w:rFonts w:ascii="Times New Roman" w:cs="Times New Roman" w:eastAsia="Times New Roman" w:hAnsi="Times New Roman"/>
          <w:sz w:val="18"/>
          <w:szCs w:val="18"/>
          <w:color w:val="343131"/>
        </w:rPr>
        <w:t>ec</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43131"/>
        </w:rPr>
        <w:t>s, growth, s</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43131"/>
        </w:rPr>
        <w:t>ra</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43131"/>
        </w:rPr>
        <w:t>egies an</w:t>
      </w:r>
      <w:r>
        <w:rPr>
          <w:rFonts w:ascii="Times New Roman" w:cs="Times New Roman" w:eastAsia="Times New Roman" w:hAnsi="Times New Roman"/>
          <w:sz w:val="18"/>
          <w:szCs w:val="18"/>
          <w:color w:val="131313"/>
        </w:rPr>
        <w:t>d t</w:t>
      </w:r>
      <w:r>
        <w:rPr>
          <w:rFonts w:ascii="Times New Roman" w:cs="Times New Roman" w:eastAsia="Times New Roman" w:hAnsi="Times New Roman"/>
          <w:sz w:val="18"/>
          <w:szCs w:val="18"/>
          <w:color w:val="343131"/>
        </w:rPr>
        <w:t xml:space="preserve">he </w:t>
      </w:r>
      <w:r>
        <w:rPr>
          <w:rFonts w:ascii="Times New Roman" w:cs="Times New Roman" w:eastAsia="Times New Roman" w:hAnsi="Times New Roman"/>
          <w:sz w:val="18"/>
          <w:szCs w:val="18"/>
          <w:color w:val="131313"/>
        </w:rPr>
        <w:t>i</w:t>
      </w:r>
      <w:r>
        <w:rPr>
          <w:rFonts w:ascii="Times New Roman" w:cs="Times New Roman" w:eastAsia="Times New Roman" w:hAnsi="Times New Roman"/>
          <w:sz w:val="18"/>
          <w:szCs w:val="18"/>
          <w:color w:val="343131"/>
        </w:rPr>
        <w:t>nd</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43131"/>
        </w:rPr>
        <w:t>s</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43131"/>
        </w:rPr>
        <w:t>ry in w</w:t>
      </w:r>
      <w:r>
        <w:rPr>
          <w:rFonts w:ascii="Times New Roman" w:cs="Times New Roman" w:eastAsia="Times New Roman" w:hAnsi="Times New Roman"/>
          <w:sz w:val="18"/>
          <w:szCs w:val="18"/>
          <w:color w:val="131313"/>
        </w:rPr>
        <w:t>h</w:t>
      </w:r>
      <w:r>
        <w:rPr>
          <w:rFonts w:ascii="Times New Roman" w:cs="Times New Roman" w:eastAsia="Times New Roman" w:hAnsi="Times New Roman"/>
          <w:sz w:val="18"/>
          <w:szCs w:val="18"/>
          <w:color w:val="343131"/>
        </w:rPr>
        <w:t>ic</w:t>
      </w:r>
      <w:r>
        <w:rPr>
          <w:rFonts w:ascii="Times New Roman" w:cs="Times New Roman" w:eastAsia="Times New Roman" w:hAnsi="Times New Roman"/>
          <w:sz w:val="18"/>
          <w:szCs w:val="18"/>
          <w:color w:val="131313"/>
        </w:rPr>
        <w:t xml:space="preserve">h </w:t>
      </w:r>
      <w:r>
        <w:rPr>
          <w:rFonts w:ascii="Times New Roman" w:cs="Times New Roman" w:eastAsia="Times New Roman" w:hAnsi="Times New Roman"/>
          <w:sz w:val="18"/>
          <w:szCs w:val="18"/>
          <w:color w:val="343131"/>
        </w:rPr>
        <w:t>we opera</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43131"/>
        </w:rPr>
        <w:t>e</w:t>
      </w:r>
      <w:r>
        <w:rPr>
          <w:rFonts w:ascii="Times New Roman" w:cs="Times New Roman" w:eastAsia="Times New Roman" w:hAnsi="Times New Roman"/>
          <w:sz w:val="18"/>
          <w:szCs w:val="18"/>
          <w:color w:val="131313"/>
        </w:rPr>
        <w:t>.</w:t>
      </w:r>
    </w:p>
    <w:p>
      <w:pPr>
        <w:spacing w:after="0" w:line="201"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 xml:space="preserve">You are cautioned that forward-looking statements are </w:t>
      </w:r>
      <w:r>
        <w:rPr>
          <w:rFonts w:ascii="Times New Roman" w:cs="Times New Roman" w:eastAsia="Times New Roman" w:hAnsi="Times New Roman"/>
          <w:sz w:val="18"/>
          <w:szCs w:val="18"/>
          <w:color w:val="030303"/>
        </w:rPr>
        <w:t>not</w:t>
      </w:r>
      <w:r>
        <w:rPr>
          <w:rFonts w:ascii="Times New Roman" w:cs="Times New Roman" w:eastAsia="Times New Roman" w:hAnsi="Times New Roman"/>
          <w:sz w:val="18"/>
          <w:szCs w:val="18"/>
          <w:color w:val="131313"/>
        </w:rPr>
        <w:t xml:space="preserve"> guarantees of future performance and that actual results of operations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financial condition and liquidity, and the development of the industry in which the Company operates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may differ materially from those made in or suggested by the forward-looking statements contained in this prospectus. In addition, even if our results of operations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financial condition and liquidity</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and the development of the </w:t>
      </w:r>
      <w:r>
        <w:rPr>
          <w:rFonts w:ascii="Times New Roman" w:cs="Times New Roman" w:eastAsia="Times New Roman" w:hAnsi="Times New Roman"/>
          <w:sz w:val="18"/>
          <w:szCs w:val="18"/>
          <w:color w:val="030303"/>
        </w:rPr>
        <w:t xml:space="preserve">industry </w:t>
      </w:r>
      <w:r>
        <w:rPr>
          <w:rFonts w:ascii="Times New Roman" w:cs="Times New Roman" w:eastAsia="Times New Roman" w:hAnsi="Times New Roman"/>
          <w:sz w:val="18"/>
          <w:szCs w:val="18"/>
          <w:color w:val="131313"/>
        </w:rPr>
        <w:t>in which we operate are consistent with the forward- looking statements contained in this prospectus, those results or developments may not be</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131313"/>
        </w:rPr>
        <w:t>indicative of results or developments in subsequent periods.</w:t>
      </w:r>
    </w:p>
    <w:p>
      <w:pPr>
        <w:spacing w:after="0" w:line="181"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 xml:space="preserve">By their nature, forward-looking statements involve known and unknown risks, uncertainties and other factors because they relate to events and depend on circumstances that may or may not occur in the future. Forward-looking statements are not guarantees of future performance and actual financial condition, results of operations and cash flows. The development of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131313"/>
        </w:rPr>
        <w:t xml:space="preserve"> industry in which the Company operates may differ materially from (and be more negative than) those made in, or suggested by, the forward-looking statements contained in this prospectus</w:t>
      </w:r>
      <w:r>
        <w:rPr>
          <w:rFonts w:ascii="Times New Roman" w:cs="Times New Roman" w:eastAsia="Times New Roman" w:hAnsi="Times New Roman"/>
          <w:sz w:val="18"/>
          <w:szCs w:val="18"/>
          <w:color w:val="343131"/>
        </w:rPr>
        <w:t>.</w:t>
      </w:r>
    </w:p>
    <w:p>
      <w:pPr>
        <w:spacing w:after="0" w:line="191"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These statements are based on management's current views and assumptions and involve known and unknown risks and uncertainties that could cause actual results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performance or events to differ materially from those anticipated by such statements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You should not place undue reliance on these forward-looking statements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As a result of the number of known and unknown risks and uncertainties, actual results or performance may be materially different from those expressed or implied by these forward-looking statements</w:t>
      </w:r>
      <w:r>
        <w:rPr>
          <w:rFonts w:ascii="Times New Roman" w:cs="Times New Roman" w:eastAsia="Times New Roman" w:hAnsi="Times New Roman"/>
          <w:sz w:val="18"/>
          <w:szCs w:val="18"/>
          <w:color w:val="343131"/>
        </w:rPr>
        <w:t>.</w:t>
      </w:r>
      <w:r>
        <w:rPr>
          <w:rFonts w:ascii="Times New Roman" w:cs="Times New Roman" w:eastAsia="Times New Roman" w:hAnsi="Times New Roman"/>
          <w:sz w:val="18"/>
          <w:szCs w:val="18"/>
          <w:color w:val="131313"/>
        </w:rPr>
        <w:t xml:space="preserve"> Factors that could cause such differences in actual results include:</w:t>
      </w:r>
    </w:p>
    <w:p>
      <w:pPr>
        <w:spacing w:after="0" w:line="177" w:lineRule="exact"/>
        <w:rPr>
          <w:sz w:val="20"/>
          <w:szCs w:val="20"/>
          <w:color w:val="auto"/>
        </w:rPr>
      </w:pPr>
    </w:p>
    <w:p>
      <w:pPr>
        <w:ind w:firstLine="390"/>
        <w:spacing w:after="0" w:line="313" w:lineRule="auto"/>
        <w:tabs>
          <w:tab w:leader="none" w:pos="720" w:val="left"/>
        </w:tabs>
        <w:numPr>
          <w:ilvl w:val="0"/>
          <w:numId w:val="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changes in global trade policies, including the adoption and expansion of tariffs and trade barriers, that could affect the macro-economic environment and adversely impact the demand for our products;</w:t>
      </w:r>
    </w:p>
    <w:p>
      <w:pPr>
        <w:spacing w:after="0" w:line="148" w:lineRule="exact"/>
        <w:rPr>
          <w:rFonts w:ascii="Times New Roman" w:cs="Times New Roman" w:eastAsia="Times New Roman" w:hAnsi="Times New Roman"/>
          <w:sz w:val="18"/>
          <w:szCs w:val="18"/>
          <w:color w:val="131313"/>
        </w:rPr>
      </w:pPr>
    </w:p>
    <w:p>
      <w:pPr>
        <w:ind w:right="20" w:firstLine="390"/>
        <w:spacing w:after="0" w:line="297" w:lineRule="auto"/>
        <w:tabs>
          <w:tab w:leader="none" w:pos="625" w:val="left"/>
        </w:tabs>
        <w:numPr>
          <w:ilvl w:val="0"/>
          <w:numId w:val="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uncertain macro-economic and industry trends (such as inflation and fluctuations in supply chains), which may impact production capacity and end-market demand for our products;</w:t>
      </w:r>
    </w:p>
    <w:p>
      <w:pPr>
        <w:spacing w:after="0" w:line="162" w:lineRule="exact"/>
        <w:rPr>
          <w:rFonts w:ascii="Times New Roman" w:cs="Times New Roman" w:eastAsia="Times New Roman" w:hAnsi="Times New Roman"/>
          <w:sz w:val="18"/>
          <w:szCs w:val="18"/>
          <w:color w:val="131313"/>
        </w:rPr>
      </w:pPr>
    </w:p>
    <w:p>
      <w:pPr>
        <w:ind w:right="20" w:firstLine="390"/>
        <w:spacing w:after="0" w:line="313" w:lineRule="auto"/>
        <w:tabs>
          <w:tab w:leader="none" w:pos="585" w:val="left"/>
        </w:tabs>
        <w:numPr>
          <w:ilvl w:val="0"/>
          <w:numId w:val="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customer demand that differs from projections which may require us to undertake transformation measures that may not be successful in realizing the expected benefits in full or at all;</w:t>
      </w:r>
    </w:p>
    <w:p>
      <w:pPr>
        <w:spacing w:after="0" w:line="148" w:lineRule="exact"/>
        <w:rPr>
          <w:rFonts w:ascii="Times New Roman" w:cs="Times New Roman" w:eastAsia="Times New Roman" w:hAnsi="Times New Roman"/>
          <w:sz w:val="18"/>
          <w:szCs w:val="18"/>
          <w:color w:val="131313"/>
        </w:rPr>
      </w:pPr>
    </w:p>
    <w:p>
      <w:pPr>
        <w:ind w:left="580" w:hanging="190"/>
        <w:spacing w:after="0"/>
        <w:tabs>
          <w:tab w:leader="none" w:pos="580" w:val="left"/>
        </w:tabs>
        <w:numPr>
          <w:ilvl w:val="0"/>
          <w:numId w:val="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ability to design, manufacture and sell innovative products in a rapidly changing technological environment;</w:t>
      </w:r>
    </w:p>
    <w:p>
      <w:pPr>
        <w:spacing w:after="0" w:line="252" w:lineRule="exact"/>
        <w:rPr>
          <w:rFonts w:ascii="Times New Roman" w:cs="Times New Roman" w:eastAsia="Times New Roman" w:hAnsi="Times New Roman"/>
          <w:sz w:val="18"/>
          <w:szCs w:val="18"/>
          <w:color w:val="131313"/>
        </w:rPr>
      </w:pPr>
    </w:p>
    <w:p>
      <w:pPr>
        <w:ind w:firstLine="390"/>
        <w:spacing w:after="0" w:line="313" w:lineRule="auto"/>
        <w:tabs>
          <w:tab w:leader="none" w:pos="598" w:val="left"/>
        </w:tabs>
        <w:numPr>
          <w:ilvl w:val="0"/>
          <w:numId w:val="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w:t>
      </w:r>
    </w:p>
    <w:p>
      <w:pPr>
        <w:spacing w:after="0" w:line="148" w:lineRule="exact"/>
        <w:rPr>
          <w:rFonts w:ascii="Times New Roman" w:cs="Times New Roman" w:eastAsia="Times New Roman" w:hAnsi="Times New Roman"/>
          <w:sz w:val="18"/>
          <w:szCs w:val="18"/>
          <w:color w:val="131313"/>
        </w:rPr>
      </w:pPr>
    </w:p>
    <w:p>
      <w:pPr>
        <w:ind w:right="20" w:firstLine="390"/>
        <w:spacing w:after="0" w:line="297" w:lineRule="auto"/>
        <w:tabs>
          <w:tab w:leader="none" w:pos="706" w:val="left"/>
        </w:tabs>
        <w:numPr>
          <w:ilvl w:val="0"/>
          <w:numId w:val="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unanticipated events or circumstances, which may impact our ability to execute our plans and/or meet the objectives of our research and development and manufacturing programs, which benefit from public funding;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ind w:left="560" w:hanging="190"/>
        <w:spacing w:after="0"/>
        <w:tabs>
          <w:tab w:leader="none" w:pos="560"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financial difficulties with any of our major distributors or significant curtailment of purchases by key customers;</w:t>
      </w:r>
    </w:p>
    <w:p>
      <w:pPr>
        <w:spacing w:after="0" w:line="252" w:lineRule="exact"/>
        <w:rPr>
          <w:rFonts w:ascii="Times New Roman" w:cs="Times New Roman" w:eastAsia="Times New Roman" w:hAnsi="Times New Roman"/>
          <w:sz w:val="18"/>
          <w:szCs w:val="18"/>
          <w:color w:val="131313"/>
        </w:rPr>
      </w:pPr>
    </w:p>
    <w:p>
      <w:pPr>
        <w:ind w:left="-20" w:firstLine="390"/>
        <w:spacing w:after="0" w:line="313" w:lineRule="auto"/>
        <w:tabs>
          <w:tab w:leader="none" w:pos="578"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loading, product mix, and manufacturing performance of our production facilities and/or our required volume to fulfill capacity reserved with suppliers or third-party manufacturing providers;</w:t>
      </w:r>
    </w:p>
    <w:p>
      <w:pPr>
        <w:spacing w:after="0" w:line="148" w:lineRule="exact"/>
        <w:rPr>
          <w:rFonts w:ascii="Times New Roman" w:cs="Times New Roman" w:eastAsia="Times New Roman" w:hAnsi="Times New Roman"/>
          <w:sz w:val="18"/>
          <w:szCs w:val="18"/>
          <w:color w:val="131313"/>
        </w:rPr>
      </w:pPr>
    </w:p>
    <w:p>
      <w:pPr>
        <w:ind w:left="-20" w:firstLine="390"/>
        <w:spacing w:after="0" w:line="297" w:lineRule="auto"/>
        <w:tabs>
          <w:tab w:leader="none" w:pos="592"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availability and costs of equipment, raw materials, utilities, third-party manufacturing services and technology, or other supplies required by our operations (including increasing costs resulting from inflation);</w:t>
      </w:r>
    </w:p>
    <w:p>
      <w:pPr>
        <w:spacing w:after="0" w:line="162" w:lineRule="exact"/>
        <w:rPr>
          <w:rFonts w:ascii="Times New Roman" w:cs="Times New Roman" w:eastAsia="Times New Roman" w:hAnsi="Times New Roman"/>
          <w:sz w:val="18"/>
          <w:szCs w:val="18"/>
          <w:color w:val="131313"/>
        </w:rPr>
      </w:pPr>
    </w:p>
    <w:p>
      <w:pPr>
        <w:jc w:val="both"/>
        <w:ind w:left="-20" w:firstLine="390"/>
        <w:spacing w:after="0" w:line="289" w:lineRule="auto"/>
        <w:tabs>
          <w:tab w:leader="none" w:pos="659"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functionalities and performance of our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spacing w:after="0" w:line="170" w:lineRule="exact"/>
        <w:rPr>
          <w:rFonts w:ascii="Times New Roman" w:cs="Times New Roman" w:eastAsia="Times New Roman" w:hAnsi="Times New Roman"/>
          <w:sz w:val="18"/>
          <w:szCs w:val="18"/>
          <w:color w:val="131313"/>
        </w:rPr>
      </w:pPr>
    </w:p>
    <w:p>
      <w:pPr>
        <w:ind w:left="560" w:hanging="190"/>
        <w:spacing w:after="0"/>
        <w:tabs>
          <w:tab w:leader="none" w:pos="560"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theft, loss, or misuse of personal data about our employees, customers, or other third parties, and breaches of data privacy legislation;</w:t>
      </w:r>
    </w:p>
    <w:p>
      <w:pPr>
        <w:spacing w:after="0" w:line="252" w:lineRule="exact"/>
        <w:rPr>
          <w:rFonts w:ascii="Times New Roman" w:cs="Times New Roman" w:eastAsia="Times New Roman" w:hAnsi="Times New Roman"/>
          <w:sz w:val="18"/>
          <w:szCs w:val="18"/>
          <w:color w:val="131313"/>
        </w:rPr>
      </w:pPr>
    </w:p>
    <w:p>
      <w:pPr>
        <w:ind w:left="-20" w:right="20" w:firstLine="390"/>
        <w:spacing w:after="0" w:line="313" w:lineRule="auto"/>
        <w:tabs>
          <w:tab w:leader="none" w:pos="578"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impact of intellectual property claims by our competitors or other third parties, and our ability to obtain required licenses on reasonable terms and conditions;</w:t>
      </w:r>
    </w:p>
    <w:p>
      <w:pPr>
        <w:spacing w:after="0" w:line="135" w:lineRule="exact"/>
        <w:rPr>
          <w:rFonts w:ascii="Times New Roman" w:cs="Times New Roman" w:eastAsia="Times New Roman" w:hAnsi="Times New Roman"/>
          <w:sz w:val="18"/>
          <w:szCs w:val="18"/>
          <w:color w:val="131313"/>
        </w:rPr>
      </w:pPr>
    </w:p>
    <w:p>
      <w:pPr>
        <w:jc w:val="both"/>
        <w:ind w:left="-20" w:firstLine="390"/>
        <w:spacing w:after="0" w:line="289" w:lineRule="auto"/>
        <w:tabs>
          <w:tab w:leader="none" w:pos="673"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w:t>
      </w:r>
    </w:p>
    <w:p>
      <w:pPr>
        <w:spacing w:after="0" w:line="170" w:lineRule="exact"/>
        <w:rPr>
          <w:rFonts w:ascii="Times New Roman" w:cs="Times New Roman" w:eastAsia="Times New Roman" w:hAnsi="Times New Roman"/>
          <w:sz w:val="18"/>
          <w:szCs w:val="18"/>
          <w:color w:val="131313"/>
        </w:rPr>
      </w:pPr>
    </w:p>
    <w:p>
      <w:pPr>
        <w:ind w:left="-20" w:right="20" w:firstLine="390"/>
        <w:spacing w:after="0" w:line="313" w:lineRule="auto"/>
        <w:tabs>
          <w:tab w:leader="none" w:pos="632"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variations in the foreign exchange markets and, more particularly, the U.S. dollar exchange rate as compared to the Euro and the other major currencies we use for our operations;</w:t>
      </w:r>
    </w:p>
    <w:p>
      <w:pPr>
        <w:spacing w:after="0" w:line="148" w:lineRule="exact"/>
        <w:rPr>
          <w:rFonts w:ascii="Times New Roman" w:cs="Times New Roman" w:eastAsia="Times New Roman" w:hAnsi="Times New Roman"/>
          <w:sz w:val="18"/>
          <w:szCs w:val="18"/>
          <w:color w:val="131313"/>
        </w:rPr>
      </w:pPr>
    </w:p>
    <w:p>
      <w:pPr>
        <w:ind w:left="560" w:hanging="190"/>
        <w:spacing w:after="0"/>
        <w:tabs>
          <w:tab w:leader="none" w:pos="560"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outcome of ongoing litigation as well as the impact of any new litigation to which we may become a defendant;</w:t>
      </w:r>
    </w:p>
    <w:p>
      <w:pPr>
        <w:spacing w:after="0" w:line="252" w:lineRule="exact"/>
        <w:rPr>
          <w:rFonts w:ascii="Times New Roman" w:cs="Times New Roman" w:eastAsia="Times New Roman" w:hAnsi="Times New Roman"/>
          <w:sz w:val="18"/>
          <w:szCs w:val="18"/>
          <w:color w:val="131313"/>
        </w:rPr>
      </w:pPr>
    </w:p>
    <w:p>
      <w:pPr>
        <w:ind w:left="-20" w:firstLine="390"/>
        <w:spacing w:after="0" w:line="297" w:lineRule="auto"/>
        <w:tabs>
          <w:tab w:leader="none" w:pos="646"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product liability or warranty claims, claims based on epidemic or delivery failure, or other claims relating to our products, or recalls by our customers for products containing our parts;</w:t>
      </w:r>
    </w:p>
    <w:p>
      <w:pPr>
        <w:spacing w:after="0" w:line="162" w:lineRule="exact"/>
        <w:rPr>
          <w:rFonts w:ascii="Times New Roman" w:cs="Times New Roman" w:eastAsia="Times New Roman" w:hAnsi="Times New Roman"/>
          <w:sz w:val="18"/>
          <w:szCs w:val="18"/>
          <w:color w:val="131313"/>
        </w:rPr>
      </w:pPr>
    </w:p>
    <w:p>
      <w:pPr>
        <w:ind w:left="-20" w:right="20" w:firstLine="390"/>
        <w:spacing w:after="0" w:line="313" w:lineRule="auto"/>
        <w:tabs>
          <w:tab w:leader="none" w:pos="578"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natural events such as severe weather, earthquakes, tsunamis, volcano eruptions or other acts of nature, the effects of climate change, health risks and epidemics or pandemics in locations where we, our customers or our suppliers operate;</w:t>
      </w:r>
    </w:p>
    <w:p>
      <w:pPr>
        <w:spacing w:after="0" w:line="148" w:lineRule="exact"/>
        <w:rPr>
          <w:rFonts w:ascii="Times New Roman" w:cs="Times New Roman" w:eastAsia="Times New Roman" w:hAnsi="Times New Roman"/>
          <w:sz w:val="18"/>
          <w:szCs w:val="18"/>
          <w:color w:val="131313"/>
        </w:rPr>
      </w:pPr>
    </w:p>
    <w:p>
      <w:pPr>
        <w:jc w:val="both"/>
        <w:ind w:left="-20" w:firstLine="390"/>
        <w:spacing w:after="0" w:line="289" w:lineRule="auto"/>
        <w:tabs>
          <w:tab w:leader="none" w:pos="592"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increased regulation and initiatives in our industry, including those concerning climate change and sustainability matters and our goal to become carbon neutral in all direct and indirect emissions (scopes 1 and 2), product transportation, business travel, and employee commuting emissions (our scope 3 focus), and to achieve our 100% renewable electricity sourcing goal by the end of 2027;</w:t>
      </w:r>
    </w:p>
    <w:p>
      <w:pPr>
        <w:spacing w:after="0" w:line="170" w:lineRule="exact"/>
        <w:rPr>
          <w:rFonts w:ascii="Times New Roman" w:cs="Times New Roman" w:eastAsia="Times New Roman" w:hAnsi="Times New Roman"/>
          <w:sz w:val="18"/>
          <w:szCs w:val="18"/>
          <w:color w:val="131313"/>
        </w:rPr>
      </w:pPr>
    </w:p>
    <w:p>
      <w:pPr>
        <w:ind w:left="-20" w:right="20" w:firstLine="390"/>
        <w:spacing w:after="0" w:line="297" w:lineRule="auto"/>
        <w:tabs>
          <w:tab w:leader="none" w:pos="578"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epidemics or pandemics, which may negatively impact the global economy in a significant manner for an extended period of time, and could also materially adversely affect our business and operating results;</w:t>
      </w:r>
    </w:p>
    <w:p>
      <w:pPr>
        <w:spacing w:after="0" w:line="162" w:lineRule="exact"/>
        <w:rPr>
          <w:rFonts w:ascii="Times New Roman" w:cs="Times New Roman" w:eastAsia="Times New Roman" w:hAnsi="Times New Roman"/>
          <w:sz w:val="18"/>
          <w:szCs w:val="18"/>
          <w:color w:val="131313"/>
        </w:rPr>
      </w:pPr>
    </w:p>
    <w:p>
      <w:pPr>
        <w:ind w:left="560" w:hanging="190"/>
        <w:spacing w:after="0"/>
        <w:tabs>
          <w:tab w:leader="none" w:pos="560"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industry changes resulting from vertical and horizontal consolidation among our suppliers, competitors, and customers;</w:t>
      </w:r>
    </w:p>
    <w:p>
      <w:pPr>
        <w:spacing w:after="0" w:line="252" w:lineRule="exact"/>
        <w:rPr>
          <w:rFonts w:ascii="Times New Roman" w:cs="Times New Roman" w:eastAsia="Times New Roman" w:hAnsi="Times New Roman"/>
          <w:sz w:val="18"/>
          <w:szCs w:val="18"/>
          <w:color w:val="131313"/>
        </w:rPr>
      </w:pPr>
    </w:p>
    <w:p>
      <w:pPr>
        <w:ind w:left="-20" w:firstLine="390"/>
        <w:spacing w:after="0" w:line="313" w:lineRule="auto"/>
        <w:tabs>
          <w:tab w:leader="none" w:pos="578" w:val="left"/>
        </w:tabs>
        <w:numPr>
          <w:ilvl w:val="0"/>
          <w:numId w:val="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ability to successfully ramp up new programs that could be impacted by factors beyond our control, including the availability of critical third-party components and performance of subcontractors in line with our expectations;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11" w:name="page12"/>
    <w:bookmarkEnd w:id="11"/>
    <w:p>
      <w:pPr>
        <w:ind w:firstLine="390"/>
        <w:spacing w:after="0" w:line="313" w:lineRule="auto"/>
        <w:tabs>
          <w:tab w:leader="none" w:pos="598" w:val="left"/>
        </w:tabs>
        <w:numPr>
          <w:ilvl w:val="0"/>
          <w:numId w:val="6"/>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spacing w:after="0" w:line="146" w:lineRule="exact"/>
        <w:rPr>
          <w:rFonts w:ascii="Times New Roman" w:cs="Times New Roman" w:eastAsia="Times New Roman" w:hAnsi="Times New Roman"/>
          <w:sz w:val="18"/>
          <w:szCs w:val="18"/>
          <w:color w:val="131313"/>
        </w:rPr>
      </w:pPr>
    </w:p>
    <w:p>
      <w:pPr>
        <w:ind w:left="580" w:hanging="190"/>
        <w:spacing w:after="0"/>
        <w:tabs>
          <w:tab w:leader="none" w:pos="580" w:val="left"/>
        </w:tabs>
        <w:numPr>
          <w:ilvl w:val="0"/>
          <w:numId w:val="6"/>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other risks and uncertainties described or incorporated by reference in this prospectus, including those under "</w:t>
      </w:r>
      <w:r>
        <w:rPr>
          <w:rFonts w:ascii="Times New Roman" w:cs="Times New Roman" w:eastAsia="Times New Roman" w:hAnsi="Times New Roman"/>
          <w:sz w:val="18"/>
          <w:szCs w:val="18"/>
          <w:i w:val="1"/>
          <w:iCs w:val="1"/>
          <w:color w:val="131313"/>
        </w:rPr>
        <w:t>Risk Factors</w:t>
      </w:r>
      <w:r>
        <w:rPr>
          <w:rFonts w:ascii="Times New Roman" w:cs="Times New Roman" w:eastAsia="Times New Roman" w:hAnsi="Times New Roman"/>
          <w:sz w:val="18"/>
          <w:szCs w:val="18"/>
          <w:color w:val="131313"/>
        </w:rPr>
        <w:t>."</w:t>
      </w:r>
    </w:p>
    <w:p>
      <w:pPr>
        <w:spacing w:after="0" w:line="254"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8"/>
          <w:szCs w:val="18"/>
          <w:color w:val="131313"/>
        </w:rPr>
        <w:t>The Company undertakes no obligation to update publicly or release any revisions to these forward-looking statements to reflect events or circumstances or to reflect the occurrence of unanticipated events, other than as required by law.</w:t>
      </w:r>
    </w:p>
    <w:p>
      <w:pPr>
        <w:spacing w:after="0" w:line="160"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 xml:space="preserve">The foregoing factors and others described under the section entitled </w:t>
      </w:r>
      <w:r>
        <w:rPr>
          <w:rFonts w:ascii="Times New Roman" w:cs="Times New Roman" w:eastAsia="Times New Roman" w:hAnsi="Times New Roman"/>
          <w:sz w:val="18"/>
          <w:szCs w:val="18"/>
          <w:i w:val="1"/>
          <w:iCs w:val="1"/>
          <w:color w:val="131313"/>
        </w:rPr>
        <w:t>"Risk Factors",</w:t>
      </w:r>
      <w:r>
        <w:rPr>
          <w:rFonts w:ascii="Times New Roman" w:cs="Times New Roman" w:eastAsia="Times New Roman" w:hAnsi="Times New Roman"/>
          <w:sz w:val="18"/>
          <w:szCs w:val="18"/>
          <w:color w:val="131313"/>
        </w:rPr>
        <w:t xml:space="preserve"> as well as in the 2025 Form 20-F and in other documents that we may file with the SEC should not be construed as exhaustive. There are other factors that may cause our actual results to differ materially from the forward-looking statements contained in this prospectus. Moreover, new risks emerge from time to time and it is not possible for us to predict all such risks. We cannot assess the impact of all risks on our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 The Company urges you to read the section of this prospectus entitled </w:t>
      </w:r>
      <w:r>
        <w:rPr>
          <w:rFonts w:ascii="Times New Roman" w:cs="Times New Roman" w:eastAsia="Times New Roman" w:hAnsi="Times New Roman"/>
          <w:sz w:val="18"/>
          <w:szCs w:val="18"/>
          <w:i w:val="1"/>
          <w:iCs w:val="1"/>
          <w:color w:val="131313"/>
        </w:rPr>
        <w:t>"Risk Factors",</w:t>
      </w:r>
      <w:r>
        <w:rPr>
          <w:rFonts w:ascii="Times New Roman" w:cs="Times New Roman" w:eastAsia="Times New Roman" w:hAnsi="Times New Roman"/>
          <w:sz w:val="18"/>
          <w:szCs w:val="18"/>
          <w:color w:val="131313"/>
        </w:rPr>
        <w:t xml:space="preserve"> as well as the documents incorporated by reference herein and any prospectus for a more complete discussion of the factors that could affect </w:t>
      </w:r>
      <w:r>
        <w:rPr>
          <w:rFonts w:ascii="Times New Roman" w:cs="Times New Roman" w:eastAsia="Times New Roman" w:hAnsi="Times New Roman"/>
          <w:sz w:val="18"/>
          <w:szCs w:val="18"/>
          <w:color w:val="010101"/>
        </w:rPr>
        <w:t>its</w:t>
      </w:r>
      <w:r>
        <w:rPr>
          <w:rFonts w:ascii="Times New Roman" w:cs="Times New Roman" w:eastAsia="Times New Roman" w:hAnsi="Times New Roman"/>
          <w:sz w:val="18"/>
          <w:szCs w:val="18"/>
          <w:color w:val="131313"/>
        </w:rPr>
        <w:t xml:space="preserve"> future performance and the industry in which it operates.</w:t>
      </w:r>
    </w:p>
    <w:p>
      <w:pPr>
        <w:spacing w:after="0" w:line="181"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 xml:space="preserve">The forward-looking statements are based on plans, estimates and projections as they are currently available to the management of STM, and we do not undertake any obligation nor expect to publicly update or revise any forward-looking statement, whether as a result of new information, future events or otherwise. All subsequent written and oral forward-looking statements attributable to the Company or to persons acting on behalf of the Company are expressly qualified in their entirety by the cautionary statements referred to above and contained elsewhere </w:t>
      </w:r>
      <w:r>
        <w:rPr>
          <w:rFonts w:ascii="Times New Roman" w:cs="Times New Roman" w:eastAsia="Times New Roman" w:hAnsi="Times New Roman"/>
          <w:sz w:val="18"/>
          <w:szCs w:val="18"/>
          <w:color w:val="010101"/>
        </w:rPr>
        <w:t>in</w:t>
      </w:r>
      <w:r>
        <w:rPr>
          <w:rFonts w:ascii="Times New Roman" w:cs="Times New Roman" w:eastAsia="Times New Roman" w:hAnsi="Times New Roman"/>
          <w:sz w:val="18"/>
          <w:szCs w:val="18"/>
          <w:color w:val="131313"/>
        </w:rPr>
        <w:t xml:space="preserve"> this prospectus or incorporated by reference herein.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131313"/>
        </w:rPr>
        <w:t>RISK FACTORS</w:t>
      </w:r>
    </w:p>
    <w:p>
      <w:pPr>
        <w:spacing w:after="0" w:line="229" w:lineRule="exact"/>
        <w:rPr>
          <w:sz w:val="20"/>
          <w:szCs w:val="20"/>
          <w:color w:val="auto"/>
        </w:rPr>
      </w:pPr>
    </w:p>
    <w:p>
      <w:pPr>
        <w:jc w:val="both"/>
        <w:ind w:firstLine="382"/>
        <w:spacing w:after="0" w:line="243" w:lineRule="auto"/>
        <w:rPr>
          <w:sz w:val="20"/>
          <w:szCs w:val="20"/>
          <w:color w:val="auto"/>
        </w:rPr>
      </w:pPr>
      <w:r>
        <w:rPr>
          <w:rFonts w:ascii="Times New Roman" w:cs="Times New Roman" w:eastAsia="Times New Roman" w:hAnsi="Times New Roman"/>
          <w:sz w:val="18"/>
          <w:szCs w:val="18"/>
          <w:color w:val="131313"/>
        </w:rPr>
        <w:t>An investment in the Company's securities carries a significant degree of risk. Before you decide to purchase the Company's securities, you should carefully consider all risk factors set forth in any applicable prospectus and the documents incorporated by reference in this prospectus, including the factors discussed under the heading "</w:t>
      </w:r>
      <w:r>
        <w:rPr>
          <w:rFonts w:ascii="Times New Roman" w:cs="Times New Roman" w:eastAsia="Times New Roman" w:hAnsi="Times New Roman"/>
          <w:sz w:val="18"/>
          <w:szCs w:val="18"/>
          <w:i w:val="1"/>
          <w:iCs w:val="1"/>
          <w:color w:val="131313"/>
        </w:rPr>
        <w:t>Risk Factors</w:t>
      </w:r>
      <w:r>
        <w:rPr>
          <w:rFonts w:ascii="Times New Roman" w:cs="Times New Roman" w:eastAsia="Times New Roman" w:hAnsi="Times New Roman"/>
          <w:sz w:val="18"/>
          <w:szCs w:val="18"/>
          <w:color w:val="131313"/>
        </w:rPr>
        <w:t xml:space="preserve">" in our most recent annual report on Form 20-F or any updates in our current reports on Form 6-K, which may be amended, supplemented or superseded from time to time by the other reports we file with the SEC in the future or by information in the applicable prospectus. See </w:t>
      </w:r>
      <w:r>
        <w:rPr>
          <w:rFonts w:ascii="Times New Roman" w:cs="Times New Roman" w:eastAsia="Times New Roman" w:hAnsi="Times New Roman"/>
          <w:sz w:val="18"/>
          <w:szCs w:val="18"/>
          <w:i w:val="1"/>
          <w:iCs w:val="1"/>
          <w:color w:val="2D2D2D"/>
        </w:rPr>
        <w:t>"Incorporation</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i w:val="1"/>
          <w:iCs w:val="1"/>
          <w:color w:val="131313"/>
        </w:rPr>
        <w:t>of Certain Documents by Reference."</w:t>
      </w:r>
      <w:r>
        <w:rPr>
          <w:rFonts w:ascii="Times New Roman" w:cs="Times New Roman" w:eastAsia="Times New Roman" w:hAnsi="Times New Roman"/>
          <w:sz w:val="18"/>
          <w:szCs w:val="18"/>
          <w:color w:val="131313"/>
        </w:rPr>
        <w:t xml:space="preserve"> The risks and uncertainties we have described are not the only risks we face. Additional risks and uncertainties of which we are not presently aware or that we currently deem immaterial could also affect our business operations and financial condition. If any of these risks actually occur, our business, financial condition, results of operations or prospects could be materially affected. As a result, the trading price of the Company's securities could decline and you could lose part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USE OF PROCEEDS</w:t>
      </w:r>
    </w:p>
    <w:p>
      <w:pPr>
        <w:spacing w:after="0" w:line="216" w:lineRule="exact"/>
        <w:rPr>
          <w:sz w:val="20"/>
          <w:szCs w:val="20"/>
          <w:color w:val="auto"/>
        </w:rPr>
      </w:pPr>
    </w:p>
    <w:p>
      <w:pPr>
        <w:ind w:firstLine="382"/>
        <w:spacing w:after="0" w:line="282" w:lineRule="auto"/>
        <w:rPr>
          <w:sz w:val="20"/>
          <w:szCs w:val="20"/>
          <w:color w:val="auto"/>
        </w:rPr>
      </w:pPr>
      <w:r>
        <w:rPr>
          <w:rFonts w:ascii="Times New Roman" w:cs="Times New Roman" w:eastAsia="Times New Roman" w:hAnsi="Times New Roman"/>
          <w:sz w:val="18"/>
          <w:szCs w:val="18"/>
          <w:color w:val="131313"/>
        </w:rPr>
        <w:t>All of the Ordinary Shares offered by the Selling Securityholder pursuant to this prospectus will be sold by the Selling Securityholder. We will not receive any of the proceeds from these sales.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DIVIDEND POLICY</w:t>
      </w:r>
    </w:p>
    <w:p>
      <w:pPr>
        <w:spacing w:after="0" w:line="216"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 xml:space="preserve">The AGM approved an interim dividend of </w:t>
      </w:r>
      <w:r>
        <w:rPr>
          <w:rFonts w:ascii="Times New Roman" w:cs="Times New Roman" w:eastAsia="Times New Roman" w:hAnsi="Times New Roman"/>
          <w:sz w:val="18"/>
          <w:szCs w:val="18"/>
          <w:color w:val="2A2A2A"/>
        </w:rPr>
        <w:t>$0.36</w:t>
      </w:r>
      <w:r>
        <w:rPr>
          <w:rFonts w:ascii="Times New Roman" w:cs="Times New Roman" w:eastAsia="Times New Roman" w:hAnsi="Times New Roman"/>
          <w:sz w:val="18"/>
          <w:szCs w:val="18"/>
          <w:color w:val="131313"/>
        </w:rPr>
        <w:t xml:space="preserve"> per Ordinary Share on May 28, 2025, to be distributed in quarterly installments of $0.09 in each of the second, third and fourth quarters of 2025 and the first quarter of 2026 to shareholders of record in the month of each quarterly payment. An amount of $81 million corresponding to the first installment, $80 million corresponding to the second installment and $71 million corresponding to the third installment were paid as of December 31, 2025.</w:t>
      </w:r>
    </w:p>
    <w:p>
      <w:pPr>
        <w:spacing w:after="0" w:line="191"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8"/>
          <w:szCs w:val="18"/>
          <w:color w:val="131313"/>
        </w:rPr>
        <w:t>We intend to continue to pay an interim dividend on our Ordinary Shares on a quarterly basis; however</w:t>
      </w:r>
      <w:r>
        <w:rPr>
          <w:rFonts w:ascii="Times New Roman" w:cs="Times New Roman" w:eastAsia="Times New Roman" w:hAnsi="Times New Roman"/>
          <w:sz w:val="18"/>
          <w:szCs w:val="18"/>
          <w:color w:val="414141"/>
        </w:rPr>
        <w:t>,</w:t>
      </w:r>
      <w:r>
        <w:rPr>
          <w:rFonts w:ascii="Times New Roman" w:cs="Times New Roman" w:eastAsia="Times New Roman" w:hAnsi="Times New Roman"/>
          <w:sz w:val="18"/>
          <w:szCs w:val="18"/>
          <w:color w:val="131313"/>
        </w:rPr>
        <w:t xml:space="preserve"> decisions in relation to our dividend policy are ultimately determined by our Board.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4860"/>
        <w:spacing w:after="0"/>
        <w:rPr>
          <w:sz w:val="20"/>
          <w:szCs w:val="20"/>
          <w:color w:val="auto"/>
        </w:rPr>
      </w:pPr>
      <w:r>
        <w:rPr>
          <w:rFonts w:ascii="Times New Roman" w:cs="Times New Roman" w:eastAsia="Times New Roman" w:hAnsi="Times New Roman"/>
          <w:sz w:val="18"/>
          <w:szCs w:val="18"/>
          <w:b w:val="1"/>
          <w:bCs w:val="1"/>
          <w:color w:val="0C0C0C"/>
        </w:rPr>
        <w:t>CAPITALIZATION</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C0C0C"/>
        </w:rPr>
        <w:t xml:space="preserve">The </w:t>
      </w:r>
      <w:r>
        <w:rPr>
          <w:rFonts w:ascii="Times New Roman" w:cs="Times New Roman" w:eastAsia="Times New Roman" w:hAnsi="Times New Roman"/>
          <w:sz w:val="18"/>
          <w:szCs w:val="18"/>
          <w:color w:val="1C1C1C"/>
        </w:rPr>
        <w:t>following table sets forth our capitalization as of</w:t>
      </w:r>
      <w:r>
        <w:rPr>
          <w:rFonts w:ascii="Times New Roman" w:cs="Times New Roman" w:eastAsia="Times New Roman" w:hAnsi="Times New Roman"/>
          <w:sz w:val="18"/>
          <w:szCs w:val="18"/>
          <w:color w:val="0C0C0C"/>
        </w:rPr>
        <w:t xml:space="preserve"> December 31, 2025.</w:t>
      </w:r>
    </w:p>
    <w:p>
      <w:pPr>
        <w:spacing w:after="0" w:line="225"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0C0C0C"/>
        </w:rPr>
        <w:t xml:space="preserve">The information in </w:t>
      </w:r>
      <w:r>
        <w:rPr>
          <w:rFonts w:ascii="Times New Roman" w:cs="Times New Roman" w:eastAsia="Times New Roman" w:hAnsi="Times New Roman"/>
          <w:sz w:val="18"/>
          <w:szCs w:val="18"/>
          <w:color w:val="1C1C1C"/>
        </w:rPr>
        <w:t>this</w:t>
      </w:r>
      <w:r>
        <w:rPr>
          <w:rFonts w:ascii="Times New Roman" w:cs="Times New Roman" w:eastAsia="Times New Roman" w:hAnsi="Times New Roman"/>
          <w:sz w:val="18"/>
          <w:szCs w:val="18"/>
          <w:color w:val="0C0C0C"/>
        </w:rPr>
        <w:t xml:space="preserve"> table </w:t>
      </w:r>
      <w:r>
        <w:rPr>
          <w:rFonts w:ascii="Times New Roman" w:cs="Times New Roman" w:eastAsia="Times New Roman" w:hAnsi="Times New Roman"/>
          <w:sz w:val="18"/>
          <w:szCs w:val="18"/>
          <w:color w:val="1C1C1C"/>
        </w:rPr>
        <w:t>should</w:t>
      </w:r>
      <w:r>
        <w:rPr>
          <w:rFonts w:ascii="Times New Roman" w:cs="Times New Roman" w:eastAsia="Times New Roman" w:hAnsi="Times New Roman"/>
          <w:sz w:val="18"/>
          <w:szCs w:val="18"/>
          <w:color w:val="0C0C0C"/>
        </w:rPr>
        <w:t xml:space="preserve"> be read in </w:t>
      </w:r>
      <w:r>
        <w:rPr>
          <w:rFonts w:ascii="Times New Roman" w:cs="Times New Roman" w:eastAsia="Times New Roman" w:hAnsi="Times New Roman"/>
          <w:sz w:val="18"/>
          <w:szCs w:val="18"/>
          <w:color w:val="1C1C1C"/>
        </w:rPr>
        <w:t>conjunction with</w:t>
      </w:r>
      <w:r>
        <w:rPr>
          <w:rFonts w:ascii="Times New Roman" w:cs="Times New Roman" w:eastAsia="Times New Roman" w:hAnsi="Times New Roman"/>
          <w:sz w:val="18"/>
          <w:szCs w:val="18"/>
          <w:color w:val="0C0C0C"/>
        </w:rPr>
        <w:t xml:space="preserve"> the </w:t>
      </w:r>
      <w:r>
        <w:rPr>
          <w:rFonts w:ascii="Times New Roman" w:cs="Times New Roman" w:eastAsia="Times New Roman" w:hAnsi="Times New Roman"/>
          <w:sz w:val="18"/>
          <w:szCs w:val="18"/>
          <w:color w:val="1C1C1C"/>
        </w:rPr>
        <w:t>audited annual</w:t>
      </w:r>
      <w:r>
        <w:rPr>
          <w:rFonts w:ascii="Times New Roman" w:cs="Times New Roman" w:eastAsia="Times New Roman" w:hAnsi="Times New Roman"/>
          <w:sz w:val="18"/>
          <w:szCs w:val="18"/>
          <w:color w:val="0C0C0C"/>
        </w:rPr>
        <w:t xml:space="preserve"> consolidated </w:t>
      </w:r>
      <w:r>
        <w:rPr>
          <w:rFonts w:ascii="Times New Roman" w:cs="Times New Roman" w:eastAsia="Times New Roman" w:hAnsi="Times New Roman"/>
          <w:sz w:val="18"/>
          <w:szCs w:val="18"/>
          <w:color w:val="1C1C1C"/>
        </w:rPr>
        <w:t>financial statements</w:t>
      </w:r>
      <w:r>
        <w:rPr>
          <w:rFonts w:ascii="Times New Roman" w:cs="Times New Roman" w:eastAsia="Times New Roman" w:hAnsi="Times New Roman"/>
          <w:sz w:val="18"/>
          <w:szCs w:val="18"/>
          <w:color w:val="0C0C0C"/>
        </w:rPr>
        <w:t xml:space="preserve"> of </w:t>
      </w:r>
      <w:r>
        <w:rPr>
          <w:rFonts w:ascii="Times New Roman" w:cs="Times New Roman" w:eastAsia="Times New Roman" w:hAnsi="Times New Roman"/>
          <w:sz w:val="18"/>
          <w:szCs w:val="18"/>
          <w:color w:val="1C1C1C"/>
        </w:rPr>
        <w:t>STM as</w:t>
      </w:r>
      <w:r>
        <w:rPr>
          <w:rFonts w:ascii="Times New Roman" w:cs="Times New Roman" w:eastAsia="Times New Roman" w:hAnsi="Times New Roman"/>
          <w:sz w:val="18"/>
          <w:szCs w:val="18"/>
          <w:color w:val="0C0C0C"/>
        </w:rPr>
        <w:t xml:space="preserve"> of December 31, 2025 </w:t>
      </w:r>
      <w:r>
        <w:rPr>
          <w:rFonts w:ascii="Times New Roman" w:cs="Times New Roman" w:eastAsia="Times New Roman" w:hAnsi="Times New Roman"/>
          <w:sz w:val="18"/>
          <w:szCs w:val="18"/>
          <w:color w:val="1C1C1C"/>
        </w:rPr>
        <w:t>and</w:t>
      </w:r>
      <w:r>
        <w:rPr>
          <w:rFonts w:ascii="Times New Roman" w:cs="Times New Roman" w:eastAsia="Times New Roman" w:hAnsi="Times New Roman"/>
          <w:sz w:val="18"/>
          <w:szCs w:val="18"/>
          <w:color w:val="0C0C0C"/>
        </w:rPr>
        <w:t xml:space="preserve"> 2024 </w:t>
      </w:r>
      <w:r>
        <w:rPr>
          <w:rFonts w:ascii="Times New Roman" w:cs="Times New Roman" w:eastAsia="Times New Roman" w:hAnsi="Times New Roman"/>
          <w:sz w:val="18"/>
          <w:szCs w:val="18"/>
          <w:color w:val="1C1C1C"/>
        </w:rPr>
        <w:t>and for each</w:t>
      </w:r>
      <w:r>
        <w:rPr>
          <w:rFonts w:ascii="Times New Roman" w:cs="Times New Roman" w:eastAsia="Times New Roman" w:hAnsi="Times New Roman"/>
          <w:sz w:val="18"/>
          <w:szCs w:val="18"/>
          <w:color w:val="0C0C0C"/>
        </w:rPr>
        <w:t xml:space="preserve"> of the </w:t>
      </w:r>
      <w:r>
        <w:rPr>
          <w:rFonts w:ascii="Times New Roman" w:cs="Times New Roman" w:eastAsia="Times New Roman" w:hAnsi="Times New Roman"/>
          <w:sz w:val="18"/>
          <w:szCs w:val="18"/>
          <w:color w:val="1C1C1C"/>
        </w:rPr>
        <w:t>three years in</w:t>
      </w:r>
      <w:r>
        <w:rPr>
          <w:rFonts w:ascii="Times New Roman" w:cs="Times New Roman" w:eastAsia="Times New Roman" w:hAnsi="Times New Roman"/>
          <w:sz w:val="18"/>
          <w:szCs w:val="18"/>
          <w:color w:val="0C0C0C"/>
        </w:rPr>
        <w:t xml:space="preserve"> the period </w:t>
      </w:r>
      <w:r>
        <w:rPr>
          <w:rFonts w:ascii="Times New Roman" w:cs="Times New Roman" w:eastAsia="Times New Roman" w:hAnsi="Times New Roman"/>
          <w:sz w:val="18"/>
          <w:szCs w:val="18"/>
          <w:color w:val="1C1C1C"/>
        </w:rPr>
        <w:t>ended</w:t>
      </w:r>
      <w:r>
        <w:rPr>
          <w:rFonts w:ascii="Times New Roman" w:cs="Times New Roman" w:eastAsia="Times New Roman" w:hAnsi="Times New Roman"/>
          <w:sz w:val="18"/>
          <w:szCs w:val="18"/>
          <w:color w:val="0C0C0C"/>
        </w:rPr>
        <w:t xml:space="preserve"> December 31, 2025, </w:t>
      </w:r>
      <w:r>
        <w:rPr>
          <w:rFonts w:ascii="Times New Roman" w:cs="Times New Roman" w:eastAsia="Times New Roman" w:hAnsi="Times New Roman"/>
          <w:sz w:val="18"/>
          <w:szCs w:val="18"/>
          <w:color w:val="1C1C1C"/>
        </w:rPr>
        <w:t>including</w:t>
      </w:r>
      <w:r>
        <w:rPr>
          <w:rFonts w:ascii="Times New Roman" w:cs="Times New Roman" w:eastAsia="Times New Roman" w:hAnsi="Times New Roman"/>
          <w:sz w:val="18"/>
          <w:szCs w:val="18"/>
          <w:color w:val="0C0C0C"/>
        </w:rPr>
        <w:t xml:space="preserve"> the related notes thereto, </w:t>
      </w:r>
      <w:r>
        <w:rPr>
          <w:rFonts w:ascii="Times New Roman" w:cs="Times New Roman" w:eastAsia="Times New Roman" w:hAnsi="Times New Roman"/>
          <w:sz w:val="18"/>
          <w:szCs w:val="18"/>
          <w:color w:val="1C1C1C"/>
        </w:rPr>
        <w:t>included</w:t>
      </w:r>
      <w:r>
        <w:rPr>
          <w:rFonts w:ascii="Times New Roman" w:cs="Times New Roman" w:eastAsia="Times New Roman" w:hAnsi="Times New Roman"/>
          <w:sz w:val="18"/>
          <w:szCs w:val="18"/>
          <w:color w:val="0C0C0C"/>
        </w:rPr>
        <w:t xml:space="preserve"> in </w:t>
      </w:r>
      <w:r>
        <w:rPr>
          <w:rFonts w:ascii="Times New Roman" w:cs="Times New Roman" w:eastAsia="Times New Roman" w:hAnsi="Times New Roman"/>
          <w:sz w:val="18"/>
          <w:szCs w:val="18"/>
          <w:color w:val="1C1C1C"/>
        </w:rPr>
        <w:t>the 2025 Form 20-F</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1C1C1C"/>
        </w:rPr>
        <w:t xml:space="preserve">incorporated </w:t>
      </w:r>
      <w:r>
        <w:rPr>
          <w:rFonts w:ascii="Times New Roman" w:cs="Times New Roman" w:eastAsia="Times New Roman" w:hAnsi="Times New Roman"/>
          <w:sz w:val="18"/>
          <w:szCs w:val="18"/>
          <w:color w:val="0C0C0C"/>
        </w:rPr>
        <w:t>by reference into this prospectus.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C0C0C"/>
        </w:rPr>
        <w:t xml:space="preserve">Historical results </w:t>
      </w:r>
      <w:r>
        <w:rPr>
          <w:rFonts w:ascii="Times New Roman" w:cs="Times New Roman" w:eastAsia="Times New Roman" w:hAnsi="Times New Roman"/>
          <w:sz w:val="18"/>
          <w:szCs w:val="18"/>
          <w:color w:val="1C1C1C"/>
        </w:rPr>
        <w:t>are</w:t>
      </w:r>
      <w:r>
        <w:rPr>
          <w:rFonts w:ascii="Times New Roman" w:cs="Times New Roman" w:eastAsia="Times New Roman" w:hAnsi="Times New Roman"/>
          <w:sz w:val="18"/>
          <w:szCs w:val="18"/>
          <w:color w:val="0C0C0C"/>
        </w:rPr>
        <w:t xml:space="preserve"> not necessarily </w:t>
      </w:r>
      <w:r>
        <w:rPr>
          <w:rFonts w:ascii="Times New Roman" w:cs="Times New Roman" w:eastAsia="Times New Roman" w:hAnsi="Times New Roman"/>
          <w:sz w:val="18"/>
          <w:szCs w:val="18"/>
          <w:color w:val="1C1C1C"/>
        </w:rPr>
        <w:t>indicative</w:t>
      </w:r>
      <w:r>
        <w:rPr>
          <w:rFonts w:ascii="Times New Roman" w:cs="Times New Roman" w:eastAsia="Times New Roman" w:hAnsi="Times New Roman"/>
          <w:sz w:val="18"/>
          <w:szCs w:val="18"/>
          <w:color w:val="0C0C0C"/>
        </w:rPr>
        <w:t xml:space="preserve"> of results to be </w:t>
      </w:r>
      <w:r>
        <w:rPr>
          <w:rFonts w:ascii="Times New Roman" w:cs="Times New Roman" w:eastAsia="Times New Roman" w:hAnsi="Times New Roman"/>
          <w:sz w:val="18"/>
          <w:szCs w:val="18"/>
          <w:color w:val="1C1C1C"/>
        </w:rPr>
        <w:t>expected in any</w:t>
      </w:r>
      <w:r>
        <w:rPr>
          <w:rFonts w:ascii="Times New Roman" w:cs="Times New Roman" w:eastAsia="Times New Roman" w:hAnsi="Times New Roman"/>
          <w:sz w:val="18"/>
          <w:szCs w:val="18"/>
          <w:color w:val="0C0C0C"/>
        </w:rPr>
        <w:t xml:space="preserve"> future period.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080" w:type="dxa"/>
            <w:vAlign w:val="bottom"/>
            <w:tcBorders>
              <w:left w:val="single" w:sz="8" w:color="4F81BD"/>
            </w:tcBorders>
            <w:shd w:val="clear" w:color="auto" w:fill="4F81BD"/>
          </w:tcPr>
          <w:p>
            <w:pPr>
              <w:spacing w:after="0"/>
              <w:rPr>
                <w:sz w:val="17"/>
                <w:szCs w:val="17"/>
                <w:color w:val="auto"/>
              </w:rPr>
            </w:pPr>
          </w:p>
        </w:tc>
        <w:tc>
          <w:tcPr>
            <w:tcW w:w="3480" w:type="dxa"/>
            <w:vAlign w:val="bottom"/>
            <w:tcBorders>
              <w:right w:val="single" w:sz="8" w:color="auto"/>
            </w:tcBorders>
            <w:shd w:val="clear" w:color="auto" w:fill="4F81BD"/>
          </w:tcPr>
          <w:p>
            <w:pPr>
              <w:spacing w:after="0"/>
              <w:rPr>
                <w:sz w:val="17"/>
                <w:szCs w:val="17"/>
                <w:color w:val="auto"/>
              </w:rPr>
            </w:pPr>
          </w:p>
        </w:tc>
        <w:tc>
          <w:tcPr>
            <w:tcW w:w="2680" w:type="dxa"/>
            <w:vAlign w:val="bottom"/>
            <w:tcBorders>
              <w:right w:val="single" w:sz="8" w:color="4F81BD"/>
            </w:tcBorders>
            <w:shd w:val="clear" w:color="auto" w:fill="4F81BD"/>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38"/>
        </w:trPr>
        <w:tc>
          <w:tcPr>
            <w:tcW w:w="5080" w:type="dxa"/>
            <w:vAlign w:val="bottom"/>
            <w:tcBorders>
              <w:left w:val="single" w:sz="8" w:color="4F81BD"/>
              <w:bottom w:val="single" w:sz="8" w:color="4F81BD"/>
            </w:tcBorders>
            <w:shd w:val="clear" w:color="auto" w:fill="4F81BD"/>
          </w:tcPr>
          <w:p>
            <w:pPr>
              <w:spacing w:after="0"/>
              <w:rPr>
                <w:sz w:val="20"/>
                <w:szCs w:val="20"/>
                <w:color w:val="auto"/>
              </w:rPr>
            </w:pPr>
          </w:p>
        </w:tc>
        <w:tc>
          <w:tcPr>
            <w:tcW w:w="3480" w:type="dxa"/>
            <w:vAlign w:val="bottom"/>
            <w:tcBorders>
              <w:bottom w:val="single" w:sz="8" w:color="4F81BD"/>
              <w:right w:val="single" w:sz="8" w:color="auto"/>
            </w:tcBorders>
            <w:shd w:val="clear" w:color="auto" w:fill="4F81BD"/>
          </w:tcPr>
          <w:p>
            <w:pPr>
              <w:spacing w:after="0"/>
              <w:rPr>
                <w:sz w:val="20"/>
                <w:szCs w:val="20"/>
                <w:color w:val="auto"/>
              </w:rPr>
            </w:pPr>
          </w:p>
        </w:tc>
        <w:tc>
          <w:tcPr>
            <w:tcW w:w="2680" w:type="dxa"/>
            <w:vAlign w:val="bottom"/>
            <w:tcBorders>
              <w:bottom w:val="single" w:sz="8" w:color="4F81BD"/>
              <w:right w:val="single" w:sz="8" w:color="4F81BD"/>
            </w:tcBorders>
            <w:shd w:val="clear" w:color="auto" w:fill="4F81BD"/>
          </w:tcPr>
          <w:p>
            <w:pPr>
              <w:jc w:val="right"/>
              <w:ind w:right="770"/>
              <w:spacing w:after="0"/>
              <w:rPr>
                <w:sz w:val="20"/>
                <w:szCs w:val="20"/>
                <w:color w:val="auto"/>
              </w:rPr>
            </w:pPr>
            <w:r>
              <w:rPr>
                <w:rFonts w:ascii="Times New Roman" w:cs="Times New Roman" w:eastAsia="Times New Roman" w:hAnsi="Times New Roman"/>
                <w:sz w:val="18"/>
                <w:szCs w:val="18"/>
                <w:b w:val="1"/>
                <w:bCs w:val="1"/>
                <w:i w:val="1"/>
                <w:iCs w:val="1"/>
                <w:color w:val="auto"/>
              </w:rPr>
              <w:t>(in $ million)</w:t>
            </w:r>
          </w:p>
        </w:tc>
      </w:tr>
      <w:tr>
        <w:trPr>
          <w:trHeight w:val="234"/>
        </w:trPr>
        <w:tc>
          <w:tcPr>
            <w:tcW w:w="5080" w:type="dxa"/>
            <w:vAlign w:val="bottom"/>
            <w:tcBorders>
              <w:left w:val="single" w:sz="8" w:color="auto"/>
              <w:bottom w:val="single" w:sz="8" w:color="auto"/>
            </w:tcBorders>
            <w:shd w:val="clear" w:color="auto" w:fill="DBE5F1"/>
          </w:tcPr>
          <w:p>
            <w:pPr>
              <w:ind w:left="400"/>
              <w:spacing w:after="0"/>
              <w:rPr>
                <w:sz w:val="20"/>
                <w:szCs w:val="20"/>
                <w:color w:val="auto"/>
              </w:rPr>
            </w:pPr>
            <w:r>
              <w:rPr>
                <w:rFonts w:ascii="Times New Roman" w:cs="Times New Roman" w:eastAsia="Times New Roman" w:hAnsi="Times New Roman"/>
                <w:sz w:val="18"/>
                <w:szCs w:val="18"/>
                <w:b w:val="1"/>
                <w:bCs w:val="1"/>
                <w:color w:val="auto"/>
              </w:rPr>
              <w:t>Debt Outstanding:</w:t>
            </w:r>
          </w:p>
        </w:tc>
        <w:tc>
          <w:tcPr>
            <w:tcW w:w="3480" w:type="dxa"/>
            <w:vAlign w:val="bottom"/>
            <w:tcBorders>
              <w:bottom w:val="single" w:sz="8" w:color="auto"/>
              <w:right w:val="single" w:sz="8" w:color="auto"/>
            </w:tcBorders>
            <w:shd w:val="clear" w:color="auto" w:fill="DBE5F1"/>
          </w:tcPr>
          <w:p>
            <w:pPr>
              <w:spacing w:after="0"/>
              <w:rPr>
                <w:sz w:val="20"/>
                <w:szCs w:val="20"/>
                <w:color w:val="auto"/>
              </w:rPr>
            </w:pPr>
          </w:p>
        </w:tc>
        <w:tc>
          <w:tcPr>
            <w:tcW w:w="2680" w:type="dxa"/>
            <w:vAlign w:val="bottom"/>
            <w:tcBorders>
              <w:bottom w:val="single" w:sz="8" w:color="auto"/>
              <w:right w:val="single" w:sz="8" w:color="auto"/>
            </w:tcBorders>
            <w:shd w:val="clear" w:color="auto" w:fill="DBE5F1"/>
          </w:tcPr>
          <w:p>
            <w:pPr>
              <w:spacing w:after="0"/>
              <w:rPr>
                <w:sz w:val="20"/>
                <w:szCs w:val="20"/>
                <w:color w:val="auto"/>
              </w:rPr>
            </w:pPr>
          </w:p>
        </w:tc>
      </w:tr>
      <w:tr>
        <w:trPr>
          <w:trHeight w:val="212"/>
        </w:trPr>
        <w:tc>
          <w:tcPr>
            <w:tcW w:w="5080" w:type="dxa"/>
            <w:vAlign w:val="bottom"/>
            <w:tcBorders>
              <w:left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Senior Unsecured Convertible Bonds (at nominal amount)</w:t>
            </w:r>
          </w:p>
        </w:tc>
        <w:tc>
          <w:tcPr>
            <w:tcW w:w="34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r>
      <w:tr>
        <w:trPr>
          <w:trHeight w:val="210"/>
        </w:trPr>
        <w:tc>
          <w:tcPr>
            <w:tcW w:w="5080" w:type="dxa"/>
            <w:vAlign w:val="bottom"/>
            <w:tcBorders>
              <w:left w:val="single" w:sz="8" w:color="auto"/>
              <w:bottom w:val="single" w:sz="8" w:color="auto"/>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Other long-term debt</w:t>
            </w:r>
          </w:p>
        </w:tc>
        <w:tc>
          <w:tcPr>
            <w:tcW w:w="3480" w:type="dxa"/>
            <w:vAlign w:val="bottom"/>
            <w:tcBorders>
              <w:bottom w:val="single" w:sz="8" w:color="auto"/>
              <w:right w:val="single" w:sz="8" w:color="auto"/>
            </w:tcBorders>
            <w:shd w:val="clear" w:color="auto" w:fill="DBE5F1"/>
          </w:tcPr>
          <w:p>
            <w:pPr>
              <w:spacing w:after="0"/>
              <w:rPr>
                <w:sz w:val="18"/>
                <w:szCs w:val="18"/>
                <w:color w:val="auto"/>
              </w:rPr>
            </w:pPr>
          </w:p>
        </w:tc>
        <w:tc>
          <w:tcPr>
            <w:tcW w:w="2680" w:type="dxa"/>
            <w:vAlign w:val="bottom"/>
            <w:tcBorders>
              <w:bottom w:val="single" w:sz="8" w:color="auto"/>
              <w:right w:val="single" w:sz="8" w:color="auto"/>
            </w:tcBorders>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rPr>
              <w:t>1,086</w:t>
            </w:r>
          </w:p>
        </w:tc>
      </w:tr>
      <w:tr>
        <w:trPr>
          <w:trHeight w:val="209"/>
        </w:trPr>
        <w:tc>
          <w:tcPr>
            <w:tcW w:w="5080" w:type="dxa"/>
            <w:vAlign w:val="bottom"/>
            <w:tcBorders>
              <w:left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Short-term debt</w:t>
            </w:r>
          </w:p>
        </w:tc>
        <w:tc>
          <w:tcPr>
            <w:tcW w:w="34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5080" w:type="dxa"/>
            <w:vAlign w:val="bottom"/>
            <w:tcBorders>
              <w:left w:val="single" w:sz="8" w:color="auto"/>
              <w:bottom w:val="single" w:sz="8" w:color="auto"/>
            </w:tcBorders>
            <w:shd w:val="clear" w:color="auto" w:fill="DBE5F1"/>
          </w:tcPr>
          <w:p>
            <w:pPr>
              <w:spacing w:after="0"/>
              <w:rPr>
                <w:sz w:val="19"/>
                <w:szCs w:val="19"/>
                <w:color w:val="auto"/>
              </w:rPr>
            </w:pPr>
          </w:p>
        </w:tc>
        <w:tc>
          <w:tcPr>
            <w:tcW w:w="3480" w:type="dxa"/>
            <w:vAlign w:val="bottom"/>
            <w:tcBorders>
              <w:bottom w:val="single" w:sz="8" w:color="auto"/>
              <w:right w:val="single" w:sz="8" w:color="auto"/>
            </w:tcBorders>
            <w:shd w:val="clear" w:color="auto" w:fill="DBE5F1"/>
          </w:tcPr>
          <w:p>
            <w:pPr>
              <w:spacing w:after="0"/>
              <w:rPr>
                <w:sz w:val="19"/>
                <w:szCs w:val="19"/>
                <w:color w:val="auto"/>
              </w:rPr>
            </w:pPr>
          </w:p>
        </w:tc>
        <w:tc>
          <w:tcPr>
            <w:tcW w:w="2680" w:type="dxa"/>
            <w:vAlign w:val="bottom"/>
            <w:tcBorders>
              <w:bottom w:val="single" w:sz="8" w:color="auto"/>
              <w:right w:val="single" w:sz="8" w:color="auto"/>
            </w:tcBorders>
            <w:shd w:val="clear" w:color="auto" w:fill="DBE5F1"/>
          </w:tcPr>
          <w:p>
            <w:pPr>
              <w:spacing w:after="0"/>
              <w:rPr>
                <w:sz w:val="19"/>
                <w:szCs w:val="19"/>
                <w:color w:val="auto"/>
              </w:rPr>
            </w:pPr>
          </w:p>
        </w:tc>
      </w:tr>
      <w:tr>
        <w:trPr>
          <w:trHeight w:val="223"/>
        </w:trPr>
        <w:tc>
          <w:tcPr>
            <w:tcW w:w="5080" w:type="dxa"/>
            <w:vAlign w:val="bottom"/>
            <w:tcBorders>
              <w:left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8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r>
      <w:tr>
        <w:trPr>
          <w:trHeight w:val="210"/>
        </w:trPr>
        <w:tc>
          <w:tcPr>
            <w:tcW w:w="5080" w:type="dxa"/>
            <w:vAlign w:val="bottom"/>
            <w:tcBorders>
              <w:left w:val="single" w:sz="8" w:color="auto"/>
              <w:bottom w:val="single" w:sz="8" w:color="auto"/>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Common stock, par value €1.04 per share</w:t>
            </w:r>
          </w:p>
        </w:tc>
        <w:tc>
          <w:tcPr>
            <w:tcW w:w="3480" w:type="dxa"/>
            <w:vAlign w:val="bottom"/>
            <w:tcBorders>
              <w:bottom w:val="single" w:sz="8" w:color="auto"/>
              <w:right w:val="single" w:sz="8" w:color="auto"/>
            </w:tcBorders>
            <w:shd w:val="clear" w:color="auto" w:fill="DBE5F1"/>
          </w:tcPr>
          <w:p>
            <w:pPr>
              <w:spacing w:after="0"/>
              <w:rPr>
                <w:sz w:val="18"/>
                <w:szCs w:val="18"/>
                <w:color w:val="auto"/>
              </w:rPr>
            </w:pPr>
          </w:p>
        </w:tc>
        <w:tc>
          <w:tcPr>
            <w:tcW w:w="2680" w:type="dxa"/>
            <w:vAlign w:val="bottom"/>
            <w:tcBorders>
              <w:bottom w:val="single" w:sz="8" w:color="auto"/>
              <w:right w:val="single" w:sz="8" w:color="auto"/>
            </w:tcBorders>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r>
      <w:tr>
        <w:trPr>
          <w:trHeight w:val="209"/>
        </w:trPr>
        <w:tc>
          <w:tcPr>
            <w:tcW w:w="5080" w:type="dxa"/>
            <w:vAlign w:val="bottom"/>
            <w:tcBorders>
              <w:left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r>
      <w:tr>
        <w:trPr>
          <w:trHeight w:val="209"/>
        </w:trPr>
        <w:tc>
          <w:tcPr>
            <w:tcW w:w="5080" w:type="dxa"/>
            <w:vAlign w:val="bottom"/>
            <w:tcBorders>
              <w:left w:val="single" w:sz="8" w:color="auto"/>
              <w:bottom w:val="single" w:sz="8" w:color="auto"/>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Retained earnings</w:t>
            </w:r>
          </w:p>
        </w:tc>
        <w:tc>
          <w:tcPr>
            <w:tcW w:w="3480" w:type="dxa"/>
            <w:vAlign w:val="bottom"/>
            <w:tcBorders>
              <w:bottom w:val="single" w:sz="8" w:color="auto"/>
              <w:right w:val="single" w:sz="8" w:color="auto"/>
            </w:tcBorders>
            <w:shd w:val="clear" w:color="auto" w:fill="DBE5F1"/>
          </w:tcPr>
          <w:p>
            <w:pPr>
              <w:spacing w:after="0"/>
              <w:rPr>
                <w:sz w:val="18"/>
                <w:szCs w:val="18"/>
                <w:color w:val="auto"/>
              </w:rPr>
            </w:pPr>
          </w:p>
        </w:tc>
        <w:tc>
          <w:tcPr>
            <w:tcW w:w="2680" w:type="dxa"/>
            <w:vAlign w:val="bottom"/>
            <w:tcBorders>
              <w:bottom w:val="single" w:sz="8" w:color="auto"/>
              <w:right w:val="single" w:sz="8" w:color="auto"/>
            </w:tcBorders>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rPr>
              <w:t>13,082</w:t>
            </w:r>
          </w:p>
        </w:tc>
      </w:tr>
      <w:tr>
        <w:trPr>
          <w:trHeight w:val="210"/>
        </w:trPr>
        <w:tc>
          <w:tcPr>
            <w:tcW w:w="5080" w:type="dxa"/>
            <w:vAlign w:val="bottom"/>
            <w:tcBorders>
              <w:left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Treasury stock</w:t>
            </w:r>
          </w:p>
        </w:tc>
        <w:tc>
          <w:tcPr>
            <w:tcW w:w="34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r>
      <w:tr>
        <w:trPr>
          <w:trHeight w:val="209"/>
        </w:trPr>
        <w:tc>
          <w:tcPr>
            <w:tcW w:w="5080" w:type="dxa"/>
            <w:vAlign w:val="bottom"/>
            <w:tcBorders>
              <w:left w:val="single" w:sz="8" w:color="auto"/>
              <w:bottom w:val="single" w:sz="8" w:color="auto"/>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80" w:type="dxa"/>
            <w:vAlign w:val="bottom"/>
            <w:tcBorders>
              <w:bottom w:val="single" w:sz="8" w:color="auto"/>
              <w:right w:val="single" w:sz="8" w:color="auto"/>
            </w:tcBorders>
            <w:shd w:val="clear" w:color="auto" w:fill="DBE5F1"/>
          </w:tcPr>
          <w:p>
            <w:pPr>
              <w:spacing w:after="0"/>
              <w:rPr>
                <w:sz w:val="18"/>
                <w:szCs w:val="18"/>
                <w:color w:val="auto"/>
              </w:rPr>
            </w:pPr>
          </w:p>
        </w:tc>
        <w:tc>
          <w:tcPr>
            <w:tcW w:w="2680" w:type="dxa"/>
            <w:vAlign w:val="bottom"/>
            <w:tcBorders>
              <w:bottom w:val="single" w:sz="8" w:color="auto"/>
              <w:right w:val="single" w:sz="8" w:color="auto"/>
            </w:tcBorders>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r>
      <w:tr>
        <w:trPr>
          <w:trHeight w:val="210"/>
        </w:trPr>
        <w:tc>
          <w:tcPr>
            <w:tcW w:w="5080" w:type="dxa"/>
            <w:vAlign w:val="bottom"/>
            <w:tcBorders>
              <w:left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17,828</w:t>
            </w:r>
          </w:p>
        </w:tc>
      </w:tr>
      <w:tr>
        <w:trPr>
          <w:trHeight w:val="209"/>
        </w:trPr>
        <w:tc>
          <w:tcPr>
            <w:tcW w:w="5080" w:type="dxa"/>
            <w:vAlign w:val="bottom"/>
            <w:tcBorders>
              <w:left w:val="single" w:sz="8" w:color="auto"/>
              <w:bottom w:val="single" w:sz="8" w:color="auto"/>
            </w:tcBorders>
            <w:shd w:val="clear" w:color="auto" w:fill="DBE5F1"/>
          </w:tcPr>
          <w:p>
            <w:pPr>
              <w:ind w:left="40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480" w:type="dxa"/>
            <w:vAlign w:val="bottom"/>
            <w:tcBorders>
              <w:bottom w:val="single" w:sz="8" w:color="auto"/>
              <w:right w:val="single" w:sz="8" w:color="auto"/>
            </w:tcBorders>
            <w:shd w:val="clear" w:color="auto" w:fill="DBE5F1"/>
          </w:tcPr>
          <w:p>
            <w:pPr>
              <w:spacing w:after="0"/>
              <w:rPr>
                <w:sz w:val="18"/>
                <w:szCs w:val="18"/>
                <w:color w:val="auto"/>
              </w:rPr>
            </w:pPr>
          </w:p>
        </w:tc>
        <w:tc>
          <w:tcPr>
            <w:tcW w:w="2680" w:type="dxa"/>
            <w:vAlign w:val="bottom"/>
            <w:tcBorders>
              <w:bottom w:val="single" w:sz="8" w:color="auto"/>
              <w:right w:val="single" w:sz="8" w:color="auto"/>
            </w:tcBorders>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19,962</w:t>
            </w:r>
          </w:p>
        </w:tc>
      </w:tr>
      <w:tr>
        <w:trPr>
          <w:trHeight w:val="865"/>
        </w:trPr>
        <w:tc>
          <w:tcPr>
            <w:tcW w:w="50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16</w:t>
            </w: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DESCRIPTION OF SECURITIES</w:t>
      </w:r>
    </w:p>
    <w:p>
      <w:pPr>
        <w:spacing w:after="0" w:line="227" w:lineRule="exact"/>
        <w:rPr>
          <w:sz w:val="20"/>
          <w:szCs w:val="20"/>
          <w:color w:val="auto"/>
        </w:rPr>
      </w:pPr>
    </w:p>
    <w:p>
      <w:pPr>
        <w:jc w:val="both"/>
        <w:ind w:right="20" w:firstLine="382"/>
        <w:spacing w:after="0" w:line="268" w:lineRule="auto"/>
        <w:rPr>
          <w:sz w:val="20"/>
          <w:szCs w:val="20"/>
          <w:color w:val="auto"/>
        </w:rPr>
      </w:pPr>
      <w:r>
        <w:rPr>
          <w:rFonts w:ascii="Times New Roman" w:cs="Times New Roman" w:eastAsia="Times New Roman" w:hAnsi="Times New Roman"/>
          <w:sz w:val="18"/>
          <w:szCs w:val="18"/>
          <w:i w:val="1"/>
          <w:iCs w:val="1"/>
          <w:color w:val="131313"/>
        </w:rPr>
        <w:t xml:space="preserve">The following description of our share capital summarizes </w:t>
      </w:r>
      <w:r>
        <w:rPr>
          <w:rFonts w:ascii="Times New Roman" w:cs="Times New Roman" w:eastAsia="Times New Roman" w:hAnsi="Times New Roman"/>
          <w:sz w:val="18"/>
          <w:szCs w:val="18"/>
          <w:i w:val="1"/>
          <w:iCs w:val="1"/>
          <w:color w:val="2D2D2D"/>
        </w:rPr>
        <w:t>certain</w:t>
      </w:r>
      <w:r>
        <w:rPr>
          <w:rFonts w:ascii="Times New Roman" w:cs="Times New Roman" w:eastAsia="Times New Roman" w:hAnsi="Times New Roman"/>
          <w:sz w:val="18"/>
          <w:szCs w:val="18"/>
          <w:i w:val="1"/>
          <w:iCs w:val="1"/>
          <w:color w:val="131313"/>
        </w:rPr>
        <w:t xml:space="preserve"> provisions of the Articles. Such </w:t>
      </w:r>
      <w:r>
        <w:rPr>
          <w:rFonts w:ascii="Times New Roman" w:cs="Times New Roman" w:eastAsia="Times New Roman" w:hAnsi="Times New Roman"/>
          <w:sz w:val="18"/>
          <w:szCs w:val="18"/>
          <w:i w:val="1"/>
          <w:iCs w:val="1"/>
          <w:color w:val="2D2D2D"/>
        </w:rPr>
        <w:t>summaries</w:t>
      </w:r>
      <w:r>
        <w:rPr>
          <w:rFonts w:ascii="Times New Roman" w:cs="Times New Roman" w:eastAsia="Times New Roman" w:hAnsi="Times New Roman"/>
          <w:sz w:val="18"/>
          <w:szCs w:val="18"/>
          <w:i w:val="1"/>
          <w:iCs w:val="1"/>
          <w:color w:val="131313"/>
        </w:rPr>
        <w:t xml:space="preserve"> do not purport to be complete and are subject to, and are qualified in their entirety by reference to, all of the provisions of our Articles.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8"/>
          <w:szCs w:val="18"/>
          <w:color w:val="131313"/>
        </w:rPr>
        <w:t xml:space="preserve">STM is a public limited liability company </w:t>
      </w:r>
      <w:r>
        <w:rPr>
          <w:rFonts w:ascii="Times New Roman" w:cs="Times New Roman" w:eastAsia="Times New Roman" w:hAnsi="Times New Roman"/>
          <w:sz w:val="18"/>
          <w:szCs w:val="18"/>
          <w:i w:val="1"/>
          <w:iCs w:val="1"/>
          <w:color w:val="111111"/>
        </w:rPr>
        <w:t>(naamloze vennootschap)</w:t>
      </w:r>
      <w:r>
        <w:rPr>
          <w:rFonts w:ascii="Times New Roman" w:cs="Times New Roman" w:eastAsia="Times New Roman" w:hAnsi="Times New Roman"/>
          <w:sz w:val="18"/>
          <w:szCs w:val="18"/>
          <w:color w:val="131313"/>
        </w:rPr>
        <w:t xml:space="preserve"> incorporated and existing under the laws of </w:t>
      </w:r>
      <w:r>
        <w:rPr>
          <w:rFonts w:ascii="Times New Roman" w:cs="Times New Roman" w:eastAsia="Times New Roman" w:hAnsi="Times New Roman"/>
          <w:sz w:val="18"/>
          <w:szCs w:val="18"/>
          <w:color w:val="111111"/>
        </w:rPr>
        <w:t>The Netherlands</w:t>
      </w:r>
      <w:r>
        <w:rPr>
          <w:rFonts w:ascii="Times New Roman" w:cs="Times New Roman" w:eastAsia="Times New Roman" w:hAnsi="Times New Roman"/>
          <w:sz w:val="18"/>
          <w:szCs w:val="18"/>
          <w:color w:val="131313"/>
        </w:rPr>
        <w:t xml:space="preserve">, having its registered office at </w:t>
      </w:r>
      <w:r>
        <w:rPr>
          <w:rFonts w:ascii="Times New Roman" w:cs="Times New Roman" w:eastAsia="Times New Roman" w:hAnsi="Times New Roman"/>
          <w:sz w:val="18"/>
          <w:szCs w:val="18"/>
          <w:color w:val="111111"/>
        </w:rPr>
        <w:t>WTC Schiphol Airport, Schiphol Boulevard 265, 1118 BH Schiphol, The Netherlands,</w:t>
      </w:r>
      <w:r>
        <w:rPr>
          <w:rFonts w:ascii="Times New Roman" w:cs="Times New Roman" w:eastAsia="Times New Roman" w:hAnsi="Times New Roman"/>
          <w:sz w:val="18"/>
          <w:szCs w:val="18"/>
          <w:color w:val="131313"/>
        </w:rPr>
        <w:t xml:space="preserve"> and registered with the trade register (</w:t>
      </w:r>
      <w:r>
        <w:rPr>
          <w:rFonts w:ascii="Times New Roman" w:cs="Times New Roman" w:eastAsia="Times New Roman" w:hAnsi="Times New Roman"/>
          <w:sz w:val="18"/>
          <w:szCs w:val="18"/>
          <w:i w:val="1"/>
          <w:iCs w:val="1"/>
          <w:color w:val="131313"/>
        </w:rPr>
        <w:t>handelsregister</w:t>
      </w:r>
      <w:r>
        <w:rPr>
          <w:rFonts w:ascii="Times New Roman" w:cs="Times New Roman" w:eastAsia="Times New Roman" w:hAnsi="Times New Roman"/>
          <w:sz w:val="18"/>
          <w:szCs w:val="18"/>
          <w:color w:val="131313"/>
        </w:rPr>
        <w:t>) of the Dutch Chamber of Commerce (</w:t>
      </w:r>
      <w:r>
        <w:rPr>
          <w:rFonts w:ascii="Times New Roman" w:cs="Times New Roman" w:eastAsia="Times New Roman" w:hAnsi="Times New Roman"/>
          <w:sz w:val="18"/>
          <w:szCs w:val="18"/>
          <w:i w:val="1"/>
          <w:iCs w:val="1"/>
          <w:color w:val="131313"/>
        </w:rPr>
        <w:t>Kamer van Koophandel</w:t>
      </w:r>
      <w:r>
        <w:rPr>
          <w:rFonts w:ascii="Times New Roman" w:cs="Times New Roman" w:eastAsia="Times New Roman" w:hAnsi="Times New Roman"/>
          <w:sz w:val="18"/>
          <w:szCs w:val="18"/>
          <w:color w:val="131313"/>
        </w:rPr>
        <w:t>) under registration number 33194537.</w:t>
      </w:r>
    </w:p>
    <w:p>
      <w:pPr>
        <w:spacing w:after="0" w:line="19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131313"/>
        </w:rPr>
        <w:t>The corporate objects of the Company are set out in the Articles. They are to be interpreted in the broadest sense and any transaction or agreement which is entered into by the Company that is not inconsistent with the specified objects will be deemed to be within the scope of such objects.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1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STM’s current issued share capital equals €947,733,196.80, consisting of 911,281,920 Ordinary Shares, each with a nominal value of €1.04. All issued Ordinary Shares are fully paid and subscribed for.</w:t>
      </w:r>
    </w:p>
    <w:p>
      <w:pPr>
        <w:spacing w:after="0" w:line="176"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authorized capital of STM (including the issued share capital) is set at €1,809,600,000, consisting of 1,200,000,000 Ordinary Shares and 540,000,000 preference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Issuances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shareholders’ meeting, upon proposal and on the terms and conditions set by our Supervisory Board, has the power to issue shares and rights to subscribe for shares. The shareholders’ meeting may authorize our Supervisory Board, for a period of no more than five years, to issue shares and rights to subscribe for shares and to determine the terms and conditions of such issuances.</w:t>
      </w:r>
    </w:p>
    <w:p>
      <w:pPr>
        <w:spacing w:after="0" w:line="176"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auto"/>
        </w:rPr>
        <w:t>Our shares may not be issued at less than their par value. Our Ordinary Shares must be fully paid up at the time of their issuance. Our preference shares must be paid up for at least 25% of their par value at the time of their issuance (and the remaining 75% if and when requested by our Managing Board).</w:t>
      </w:r>
    </w:p>
    <w:p>
      <w:pPr>
        <w:spacing w:after="0" w:line="176" w:lineRule="exact"/>
        <w:rPr>
          <w:sz w:val="20"/>
          <w:szCs w:val="20"/>
          <w:color w:val="auto"/>
        </w:rPr>
      </w:pPr>
    </w:p>
    <w:p>
      <w:pPr>
        <w:jc w:val="both"/>
        <w:ind w:right="20" w:firstLine="382"/>
        <w:spacing w:after="0" w:line="282" w:lineRule="auto"/>
        <w:rPr>
          <w:sz w:val="20"/>
          <w:szCs w:val="20"/>
          <w:color w:val="auto"/>
        </w:rPr>
      </w:pPr>
      <w:r>
        <w:rPr>
          <w:rFonts w:ascii="Times New Roman" w:cs="Times New Roman" w:eastAsia="Times New Roman" w:hAnsi="Times New Roman"/>
          <w:sz w:val="18"/>
          <w:szCs w:val="18"/>
          <w:color w:val="auto"/>
        </w:rPr>
        <w:t>Our authorized share capital is not restricted by redemption provisions, sinking fund provisions or liability to further capital calls by us and our Articles allows for the acquisition of own shares and the cancellation of shares.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Type II shares are Ordinary Shares in the form of an entry in our shareholders register with the issue of a share certificate consisting of a main part without a dividend coupon. In addition to type II shares, type I shares are available. Type I shares are Ordinary Shares in the form of an entry in our shareholders register without the issue of a share certificate. Type II shares are only available should our Supervisory Board decide to offer them. Our preference shares are in the form of an entry in our shareholders register without issue of a share certificate.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Non-issued authorized share capital, which is different from issued share capital, allows us to proceed with capital increases excluding the preemptive rights, upon our Supervisory Board’s decision. Other securities in circulation which give access to our share capital include (i) the options giving the right to subscribe to our shares granted to our employees, including the members of our Managing Board and our senior management; (ii) the options giving the right to subscribe to our shares granted in the past to the members of our Supervisory Board, its secretaries and controllers, as described in “Item 6. Directors, Senior Management and Employees” in our 2025 Form 20-F; (iii) our bonds; and (iv) the option giving the right to subscribe to our preference shares to </w:t>
      </w:r>
      <w:r>
        <w:rPr>
          <w:rFonts w:ascii="Times New Roman" w:cs="Times New Roman" w:eastAsia="Times New Roman" w:hAnsi="Times New Roman"/>
          <w:sz w:val="18"/>
          <w:szCs w:val="18"/>
          <w:i w:val="1"/>
          <w:iCs w:val="1"/>
          <w:color w:val="auto"/>
        </w:rPr>
        <w:t>Stichting Continuïteit ST</w:t>
      </w:r>
      <w:r>
        <w:rPr>
          <w:rFonts w:ascii="Times New Roman" w:cs="Times New Roman" w:eastAsia="Times New Roman" w:hAnsi="Times New Roman"/>
          <w:sz w:val="18"/>
          <w:szCs w:val="18"/>
          <w:color w:val="auto"/>
        </w:rPr>
        <w:t>. We do not have securities not representing our share capital.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Each holder of Ordinary Shares has a pro rata preemptive right to subscribe to an offering of Ordinary Shares issued for cash in proportion to the number of Ordinary Shares which he owns. There is no preemptive right with respect to an offering of shares for non-cash consideration, with respect to an offering of shares to our employees or to the employees of one of our subsidiaries, or with respect to preference shares.</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shareholders’ meeting, upon proposal by our Supervisory Board, has the power to limit or exclude preemptive rights in connection with new issuances of shares. Such a resolution of the shareholders’ meeting must be taken with a majority of at least two-thirds of the votes cast if at such shareholders’ meeting less than 50% of the issued and outstanding share capital is present or represented. Otherwise, such a resolution can be taken by a simple majority of the votes cast at a shareholders’ meeting at which at least 15% of our issued and outstanding share capital is present or represented. Our shareholders’ meeting may authorize our Supervisory Board, for a period of no more than five years, to limit or exclude preemptive rights</w:t>
      </w:r>
      <w:r>
        <w:rPr>
          <w:rFonts w:ascii="Times New Roman" w:cs="Times New Roman" w:eastAsia="Times New Roman" w:hAnsi="Times New Roman"/>
          <w:sz w:val="18"/>
          <w:szCs w:val="18"/>
          <w:color w:val="131313"/>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Ordinary Shares in Our Own Share Capital</w:t>
      </w:r>
    </w:p>
    <w:p>
      <w:pPr>
        <w:spacing w:after="0" w:line="2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acquire our own shares, subject to certain provisions of Dutch law and of our Articles. Share acquisitions may be effected by our Managing Board, subject to the approval of our Supervisory Board, only if the shareholders’ meeting has authorized our Managing Board to effect such repurchases, which authorization may apply for a maximum period of 18 months. We may not vote shares we hold in treasury. Our purchases of our own shares are subject to acquisition price conditions as authorized by our shareholders’ meeting. Our Articles provide that we shall be able to acquire shares in our own share capital in order to transfer these shares under employee stock option or stock purchase plans, without an authorization of our shareholders’ meeting.</w:t>
      </w:r>
    </w:p>
    <w:p>
      <w:pPr>
        <w:spacing w:after="0" w:line="14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Upon the proposal of our Supervisory Board, our shareholders’ meeting may, in accordance with the legal provisions, reduce our issued capital by canceling the shares that we hold in treasury, by reducing the par value of the shares or by canceling our preference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131313"/>
        </w:rPr>
        <w:t>There are currently no limitations imposed by Dutch law or by our Articles on the right of non-resident holders to hold or vote the shares. Each share is entitled to one vote.</w:t>
      </w:r>
    </w:p>
    <w:p>
      <w:pPr>
        <w:spacing w:after="0" w:line="121"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131313"/>
        </w:rPr>
        <w:t>The 540,000,000 preference shares, when issued, will entitle a holder to full voting rights and to a preferential right to dividends and distributions upon liquidation.</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131313"/>
        </w:rPr>
        <w:t>Unless otherwise required by our Articles or Dutch law, resolutions of shareholders’ meetings require the approval of a simple majority of the votes cast at a meeting at which at least 15% of the issued and outstanding share capital is present or represented, subject to the provisions explained below. We may not vote our Ordinary Shares held in treasury. Blank and invalid votes shall not be counted.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8" w:name="page19"/>
    <w:bookmarkEnd w:id="18"/>
    <w:p>
      <w:pPr>
        <w:jc w:val="both"/>
        <w:ind w:firstLine="486"/>
        <w:spacing w:after="0" w:line="247" w:lineRule="auto"/>
        <w:rPr>
          <w:sz w:val="20"/>
          <w:szCs w:val="20"/>
          <w:color w:val="auto"/>
        </w:rPr>
      </w:pPr>
      <w:r>
        <w:rPr>
          <w:rFonts w:ascii="Times New Roman" w:cs="Times New Roman" w:eastAsia="Times New Roman" w:hAnsi="Times New Roman"/>
          <w:sz w:val="18"/>
          <w:szCs w:val="18"/>
          <w:color w:val="131313"/>
        </w:rPr>
        <w:t>A quorum of shareholders, present or represented, holding at least 50% of our issued share capital, is required to dismiss a member of our Managing Board, unless the dismissal is proposed by our Supervisory Board. In the event of the lack of a quorum, a second shareholders’ meeting must be held within four weeks, with no applicable quorum requirement. Any decision or authorization by the shareholders’ meeting which has or could have the effect of excluding or limiting preferential subscription rights must be taken by a majority of at least two-thirds of the votes cast, if at the shareholders’ meeting less than 50% of the issued and outstanding share capital is present or represented. Otherwise such a resolution can be taken by a simple majority at a meeting at which at least 15% of the issued and outstanding share capital is represented.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Articles and Liquidation</w:t>
      </w:r>
    </w:p>
    <w:p>
      <w:pPr>
        <w:spacing w:after="0" w:line="229"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8"/>
          <w:szCs w:val="18"/>
          <w:color w:val="131313"/>
        </w:rPr>
        <w:t>Our Articles may only be amended (and our liquidation can only be decided on) if amendments are proposed by our Supervisory Board and approved by a simple majority of the votes cast at a shareholders’ meeting at which at least 15% of the issued and outstanding share capital is present or represented. The complete proposal for the amendment (or liquidation) must be made available for inspection by the shareholders and the other persons entitled to attend shareholders’ meetings at our offices as from the day of the notice convening such meeting until the end of the meeting. Any amendment of our Articles that negatively affects the rights of the holders of a certain class of shares requires the prior approval of the meeting of holders of such class of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Shareholders Meetings</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131313"/>
        </w:rPr>
        <w:t>Our ordinary shareholders’ meetings are held at least annually, within six months after the close of each financial year, in The Netherlands. Extraordinary shareholders’ meetings may be held as often as our Supervisory Board deems necessary, and must be held upon the written request of registered shareholders or other persons entitled to attend shareholders’ meetings of at least 10% of the total issued share capital to our Managing Board or our Supervisory Board specifying in detail the business to be dealt with. Such written requests may not be submitted electronically.</w:t>
      </w:r>
    </w:p>
    <w:p>
      <w:pPr>
        <w:spacing w:after="0" w:line="180"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8"/>
          <w:szCs w:val="18"/>
          <w:color w:val="131313"/>
        </w:rPr>
        <w:t>All shareholders and other persons entitled to attend shareholders’ meetings may attend in person or be represented by a person holding a written proxy. Shareholders and other persons entitled to vote, may do so pursuant to our Articles. Subject to the approval of our Supervisory Board, our Managing Board may resolve to facilitate the use of electronic means of communication in relation to the participation and voting in shareholders’ meetings. Dutch law prescribes a fixed registration date of 28 days prior to the shareholders’ meeting, which means that shareholders and other persons entitled to attend shareholders’ meetings are those persons who have such rights at the 28th day prior to the shareholders’ meeting and, as such, are registered in a register designated by our Managing Board, regardless of who is a shareholder or otherwise a person entitled to attend shareholders’ meetings at the time of the meeting if a registration date would not be applicable. In the notice convening the shareholders’ meeting, the time of registration must be mentioned as well as the manner in which shareholders and other persons entitled to attend shareholders’ meetings can register themselves and the manner in which they can exercise their rights.</w:t>
      </w:r>
    </w:p>
    <w:p>
      <w:pPr>
        <w:spacing w:after="0" w:line="185"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31313"/>
        </w:rPr>
        <w:t>All matters regarding admittance to the shareholders’ meeting, the exercise of voting rights and the result of voting, as well as any other matters regarding the business of the shareholders’ meeting, shall be decided upon by the chairman of that meeting, in accordance with the requirements of Section 2:13 of the Dutch Civil Code.</w:t>
      </w:r>
    </w:p>
    <w:p>
      <w:pPr>
        <w:spacing w:after="0" w:line="169"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Our Articles allow for separate meetings for holders of Ordinary Shares and for holders of preference shares. At a meeting of holders of preference shares at which the entire issued capital of shares of such class is represented, valid resolutions may be adopted even if the requirements in respect of the place of the meeting and the giving of notice have not been observed, provided that such resolutions are adopted by unanimous vote. Also, valid resolutions of preference shareholder meetings may be adopted outside a meeting if all persons entitled to vote on our preference shares indicate in writing that they vote in favor of the proposed resolution, provided that no depositary receipts for preference shares have been issued with our cooperation.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Distributions on Winding up of the Company</w:t>
      </w:r>
    </w:p>
    <w:p>
      <w:pPr>
        <w:spacing w:after="0" w:line="229"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In the event of our dissolution and liquidation, after payment of all debts and liquidation expenses, the holders of preference shares if issued, would receive the paid up portion of the par value of their preference shares. Any assets then remaining shall be distributed among the holders of Ordinary Shares in proportion to the par value of their shareholdings.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16"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auto"/>
        </w:rPr>
        <w:t>The Company’s supervisory board charter and management board charter contain specific provisions regarding interested directors and set forth procedures for approval of contracts or transactions involving an interested director. If a director has a direct or indirect financial interest conflicting with that of the Company in any contract or transaction to which the Company will be party, such interested director shall advise the Supervisory thereof, cause a record of his or her statement to be included in the minutes of the meeting, and may not take part in relevant deliberations.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 xml:space="preserve">On February 6, 2026, the Company entered into the Warrant Agreement with the Warrantholder to issue to the Warrantholder a </w:t>
      </w:r>
      <w:r>
        <w:rPr>
          <w:rFonts w:ascii="Times New Roman" w:cs="Times New Roman" w:eastAsia="Times New Roman" w:hAnsi="Times New Roman"/>
          <w:sz w:val="18"/>
          <w:szCs w:val="18"/>
          <w:color w:val="131313"/>
        </w:rPr>
        <w:t>Warrant</w:t>
      </w:r>
      <w:r>
        <w:rPr>
          <w:rFonts w:ascii="Times New Roman" w:cs="Times New Roman" w:eastAsia="Times New Roman" w:hAnsi="Times New Roman"/>
          <w:sz w:val="18"/>
          <w:szCs w:val="18"/>
          <w:color w:val="auto"/>
        </w:rPr>
        <w:t xml:space="preserve"> to acquire up to 24,755,584 of the Company’s Ordinary Shares at an exercise price of $28.38 per share, and on the terms and conditions set forth in the </w:t>
      </w:r>
      <w:r>
        <w:rPr>
          <w:rFonts w:ascii="Times New Roman" w:cs="Times New Roman" w:eastAsia="Times New Roman" w:hAnsi="Times New Roman"/>
          <w:sz w:val="18"/>
          <w:szCs w:val="18"/>
          <w:color w:val="131313"/>
        </w:rPr>
        <w:t>Warrant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382"/>
        <w:spacing w:after="0" w:line="221" w:lineRule="auto"/>
        <w:rPr>
          <w:sz w:val="20"/>
          <w:szCs w:val="20"/>
          <w:color w:val="auto"/>
        </w:rPr>
      </w:pPr>
      <w:r>
        <w:rPr>
          <w:rFonts w:ascii="Times New Roman" w:cs="Times New Roman" w:eastAsia="Times New Roman" w:hAnsi="Times New Roman"/>
          <w:sz w:val="18"/>
          <w:szCs w:val="18"/>
          <w:color w:val="131313"/>
        </w:rPr>
        <w:t>Upon issuance of the Warrant, 562,627 of the Warrant Shares vested, and on the 6</w:t>
      </w:r>
      <w:r>
        <w:rPr>
          <w:rFonts w:ascii="Times New Roman" w:cs="Times New Roman" w:eastAsia="Times New Roman" w:hAnsi="Times New Roman"/>
          <w:sz w:val="29"/>
          <w:szCs w:val="29"/>
          <w:color w:val="131313"/>
          <w:vertAlign w:val="superscript"/>
        </w:rPr>
        <w:t>th</w:t>
      </w:r>
      <w:r>
        <w:rPr>
          <w:rFonts w:ascii="Times New Roman" w:cs="Times New Roman" w:eastAsia="Times New Roman" w:hAnsi="Times New Roman"/>
          <w:sz w:val="18"/>
          <w:szCs w:val="18"/>
          <w:color w:val="131313"/>
        </w:rPr>
        <w:t xml:space="preserve"> month anniversary of the execution date of the Warrant, a further 562,627 of the Warrant Shares will vest. The remainder of the Warrant Shares are subject to vesting over time based on payments made by Warrantholder or on the Warrantholder’s behalf under the current and any possible future commercial agreement with the Company.</w:t>
      </w:r>
    </w:p>
    <w:p>
      <w:pPr>
        <w:spacing w:after="0" w:line="186"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The Warrant allows for cashless exercise at the Warrantholder’s discretion and expires at 5:00 p.m., Seattle time, on February 7, 2033. The exercise price and the number of Ordinary Shares are subject to customary anti-dilution adjustments. Under the Transaction Agreement, the Company has granted customary registration rights for the Warrant Shares and has agreed to give Amazon advance notice of certain acquisition transactions involving the Company.</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The foregoing description of the Warrant is qualified in its entirety by reference to the full text of the Warrant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Company is governed under the laws of The Netherlands. The Articles provide that the net result for the year, after deduction of (i) any amount to set up and maintain reserves required by Dutch Law and the Articles, (ii) if any of the Company's preference shares are issued and outstanding, the dividend to be paid to the holders of preference shares and (iii) the aforementioned allocation to the reserve fund, is subject to the disposition by the AGM.</w:t>
      </w:r>
    </w:p>
    <w:p>
      <w:pPr>
        <w:spacing w:after="0" w:line="169"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18"/>
          <w:szCs w:val="18"/>
          <w:color w:val="auto"/>
        </w:rPr>
        <w:t>Subject to certain exceptions, dividends may only be paid out of the profits as shown in our adopted annual accounts. Our profits must first be used to set up and maintain reserves required by Dutch law and our Articles. Subsequently, if any of our preference shares are issued and outstanding, preference shareholders shall be paid a dividend, which will be a percentage of the paid up part of the par value of their preference shares. Our Supervisory Board may then, upon proposal of our Managing Board, also establish reserves out of our annual profits. The portion of our annual profits that remains after the establishment or maintenance of reserves and the payment of a dividend to our preference shareholders is at the disposal of our shareholders’ meeting. No distribution may be made to our shareholders when the equity after such distribution is or becomes inferior to the fully-paid share capital, increased by the legal reserves. Our preference shares are cumulative by nature, which means that if in a financial year the dividend on the preference shares cannot be (fully) paid, the deficit must first be paid in the following financial year(s).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jc w:val="both"/>
        <w:ind w:firstLine="588"/>
        <w:spacing w:after="0" w:line="247" w:lineRule="auto"/>
        <w:rPr>
          <w:sz w:val="20"/>
          <w:szCs w:val="20"/>
          <w:color w:val="auto"/>
        </w:rPr>
      </w:pPr>
      <w:r>
        <w:rPr>
          <w:rFonts w:ascii="Times New Roman" w:cs="Times New Roman" w:eastAsia="Times New Roman" w:hAnsi="Times New Roman"/>
          <w:sz w:val="18"/>
          <w:szCs w:val="18"/>
          <w:color w:val="auto"/>
        </w:rPr>
        <w:t>Our Supervisory Board independently as well as our shareholders’ meeting, upon the proposal of our Supervisory Board, may each declare distributions out of our share premium reserve and other reserves available for shareholder distributions under Dutch law. Pursuant to a resolution of our Supervisory Board, distributions adopted by the shareholders’ meeting may be fully or partially made in the form of our new shares to be issued. Our Supervisory Board may, subject to certain statutory provisions, make one or more interim distributions in respect of any year before the accounts for such year have been adopted at a shareholders’ meeting. Rights to cash dividends and distributions that have not been collected within five years after the date on which they became due and payable shall revert to us.</w:t>
      </w:r>
    </w:p>
    <w:p>
      <w:pPr>
        <w:spacing w:after="0" w:line="180"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8"/>
          <w:szCs w:val="18"/>
          <w:color w:val="auto"/>
        </w:rPr>
        <w:t>The AGM held on May 28, 2025, authorized the distribution of a cash dividend of $0.36 per outstanding share of the Company’s common stock, to be distributed in quarterly installments of $0.09 in each of the second, third and fourth quarters of 2025 and first quarter of 2026. An amount of $81 million corresponding to the first installment, $80 million corresponding to the second installment and $71 million corresponding to the third installment were paid as of December 31, 2025.</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authorized capital of STM (including the issued share capital) is set at €1,809,600,000, consisting of 1,200,000,000 Ordinary Shares and 540,000,000 preference shares, each with a nominal value of €1.04.</w:t>
      </w:r>
    </w:p>
    <w:p>
      <w:pPr>
        <w:spacing w:after="0" w:line="162"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540,000,000 preference shares, when issued, will entitle a holder to full voting rights and to a preferential right to dividends and distributions upon liquidation.</w:t>
      </w:r>
    </w:p>
    <w:p>
      <w:pPr>
        <w:spacing w:after="0" w:line="146" w:lineRule="exact"/>
        <w:rPr>
          <w:sz w:val="20"/>
          <w:szCs w:val="20"/>
          <w:color w:val="auto"/>
        </w:rPr>
      </w:pPr>
    </w:p>
    <w:p>
      <w:pPr>
        <w:jc w:val="both"/>
        <w:ind w:firstLine="510"/>
        <w:spacing w:after="0" w:line="242" w:lineRule="auto"/>
        <w:rPr>
          <w:sz w:val="20"/>
          <w:szCs w:val="20"/>
          <w:color w:val="auto"/>
        </w:rPr>
      </w:pPr>
      <w:r>
        <w:rPr>
          <w:rFonts w:ascii="Times New Roman" w:cs="Times New Roman" w:eastAsia="Times New Roman" w:hAnsi="Times New Roman"/>
          <w:sz w:val="18"/>
          <w:szCs w:val="18"/>
          <w:color w:val="auto"/>
        </w:rPr>
        <w:t>The Company is a party to an option agreement regarding the preference shares with Stichting Continuïteit ST (the “</w:t>
      </w:r>
      <w:r>
        <w:rPr>
          <w:rFonts w:ascii="Times New Roman" w:cs="Times New Roman" w:eastAsia="Times New Roman" w:hAnsi="Times New Roman"/>
          <w:sz w:val="18"/>
          <w:szCs w:val="18"/>
          <w:i w:val="1"/>
          <w:iCs w:val="1"/>
          <w:color w:val="auto"/>
        </w:rPr>
        <w:t>Stichting</w:t>
      </w:r>
      <w:r>
        <w:rPr>
          <w:rFonts w:ascii="Times New Roman" w:cs="Times New Roman" w:eastAsia="Times New Roman" w:hAnsi="Times New Roman"/>
          <w:sz w:val="18"/>
          <w:szCs w:val="18"/>
          <w:color w:val="auto"/>
        </w:rPr>
        <w:t>”), entered into on January 22, 2007, with a duration of ten years, an agreement which was extended for additional ten years in October 2016. The Managing Board and Supervisory Board, along with the board of the Stichting, have declared that they are jointly of the opinion that the Stichting is independent of the Company. The option agreement provides for the issuance of up to a maximum 540,000,000 preference shares. Any such shares would be issued to the Stichting upon its request and in its sole discretion and upon payment of at least 25% of the par value of the preference shares to be issued. The shares would be issuable in the event of actions which the board of the Stichting determines would be contrary to the Company’s interests, shareholders and other stakeholders and which, in the event of a creeping acquisition or offer for the Company’s Ordinary Shares, are not supported by the Company’s Managing Board and Supervisory Board. The preference shares may remain outstanding for no longer than two years. The effect of the preference shares may be to deter potential acquirers from effecting an unsolicited acquisition resulting in a change of control as well as to create a level-playing field in the event actions which are considered to be hostile by the Company’s Managing Board and Supervisory Board, as described above, occur and which the board of the Stichting determines to be contrary to the Company’s interests, shareholders and other stakeholders.</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preference shares issued as of December 31, 2025 and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31313"/>
        </w:rPr>
        <w:t>U.S. Transfer Agent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U.S. transfer agent for the Ordinary Shares is J.P. Morgan.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SELLING SECURITYHOLDERS</w:t>
      </w:r>
    </w:p>
    <w:p>
      <w:pPr>
        <w:spacing w:after="0" w:line="22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 from time to time of up to 24,755,584 Ordinary Shares underlying a warrant to purchase the Company’s Ordinary Shares.</w:t>
      </w:r>
    </w:p>
    <w:p>
      <w:pPr>
        <w:spacing w:after="0" w:line="148"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On February 6, 2026, the Company and Amazon.com, Inc. (“Amazon”) entered into a transaction agreement (the “Transaction Agreement”), under which the Company issued to the Selling Securityholder, a wholly-owned subsidiary of Amazon, a warrant to purchase up to an aggregate of 24,755,584 ordinary shares at an exercise price of $28.38 per share. The Warrant allows for cashless exercise and expires at 5:00 p.m., Seattle time, on February 7,</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 xml:space="preserve">2033. Upon issuance of the </w:t>
      </w:r>
      <w:r>
        <w:rPr>
          <w:rFonts w:ascii="Times New Roman" w:cs="Times New Roman" w:eastAsia="Times New Roman" w:hAnsi="Times New Roman"/>
          <w:sz w:val="18"/>
          <w:szCs w:val="18"/>
          <w:color w:val="131313"/>
        </w:rPr>
        <w:t>Warrant</w:t>
      </w:r>
      <w:r>
        <w:rPr>
          <w:rFonts w:ascii="Times New Roman" w:cs="Times New Roman" w:eastAsia="Times New Roman" w:hAnsi="Times New Roman"/>
          <w:sz w:val="18"/>
          <w:szCs w:val="18"/>
          <w:color w:val="auto"/>
        </w:rPr>
        <w:t>, 562,627 of the Warrant Shares vested, and on the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anniversary of the execution date of the Warrant, a further 562,627 of the Warrant Shares will vest, after which date the right to purchase ordinary shares upon exercise of the Warrant is subject to vesting based on qualifying payments (as defined in the Warrant) for the purchase of all products and services by or on behalf of Amazon and its affiliates over the term of the Warrant.</w:t>
      </w:r>
    </w:p>
    <w:p>
      <w:pPr>
        <w:spacing w:after="0" w:line="187"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8"/>
          <w:szCs w:val="18"/>
          <w:color w:val="auto"/>
        </w:rPr>
        <w:t>The exercise price and the number of Ordinary Shares subject to the Warrant are subject to customary anti-dilution adjustments. Upon the consummation of an acquisition transaction (as defined in the Transaction Agreement), subject to a specified condition, the unvested portion of the Warrant will vest in full. So long as the Warrant is unexercised, the Warrant does not entitle the Selling Securityholder to any voting rights or any other shareholder rights. The Transaction Agreement includes customary registration rights, representations and warranties and covenants of the Company and Amazon, and certain restrictions on the Selling Securityholder’s ability to transfer the Warrant and the Ordinary Shares issuable upon exercise of the Warrant.</w:t>
      </w:r>
    </w:p>
    <w:p>
      <w:pPr>
        <w:spacing w:after="0" w:line="177" w:lineRule="exact"/>
        <w:rPr>
          <w:sz w:val="20"/>
          <w:szCs w:val="20"/>
          <w:color w:val="auto"/>
        </w:rPr>
      </w:pPr>
    </w:p>
    <w:p>
      <w:pPr>
        <w:jc w:val="both"/>
        <w:ind w:firstLine="510"/>
        <w:spacing w:after="0" w:line="246" w:lineRule="auto"/>
        <w:rPr>
          <w:sz w:val="20"/>
          <w:szCs w:val="20"/>
          <w:color w:val="auto"/>
        </w:rPr>
      </w:pPr>
      <w:r>
        <w:rPr>
          <w:rFonts w:ascii="Times New Roman" w:cs="Times New Roman" w:eastAsia="Times New Roman" w:hAnsi="Times New Roman"/>
          <w:sz w:val="18"/>
          <w:szCs w:val="18"/>
          <w:color w:val="auto"/>
        </w:rPr>
        <w:t>Pursuant to the Transaction Agreement, we agreed to file a registration statement with the SEC, providing for the offer and sale, from time to time, of the Ordinary Shares issuable upon exercise of the Warrant. We have agreed with the Selling Securityholder to use commercially reasonable efforts to cause the registration statement of which this prospectus constitutes a part to remain continuously effective, and to replace such registration statement at or before its expiration with a successor registration statement, until the date on which all of the Ordinary Shares included in this prospectus have been sold in accordance with the plan and method of distribution described herein.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10"/>
        <w:spacing w:after="0" w:line="241"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 for which we are registering Ordinary Shares for resale to the public, the aggregate number of Ordinary Shares beneficially owned and the aggregate principal amount that the Selling Securityholder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Unless otherwise indicated below, to our knowledge, the entity named in the table has sole voting and sole investment power with respect to all securities that it beneficially owns, subject to community property laws where applicable.</w:t>
      </w:r>
    </w:p>
    <w:p>
      <w:pPr>
        <w:spacing w:after="0" w:line="206" w:lineRule="exact"/>
        <w:rPr>
          <w:sz w:val="20"/>
          <w:szCs w:val="20"/>
          <w:color w:val="auto"/>
        </w:rPr>
      </w:pPr>
    </w:p>
    <w:p>
      <w:pPr>
        <w:jc w:val="both"/>
        <w:ind w:firstLine="510"/>
        <w:spacing w:after="0" w:line="245"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 will in fact exercise the Warrant and subsequently offer and sell any or all of such Ordinary Shares. As such, we are unable to declare the number of Ordinary Shares that the Selling Securityholder will retain after any such sale. In addition, the Selling Securityholder may sell, transfer or otherwise dispose of, at any time and from time to time, the Ordinary Shares in transactions exempt from the registration requirements of the Securities Act after the date of this prospectus.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jc w:val="both"/>
        <w:ind w:firstLine="510"/>
        <w:spacing w:after="0" w:line="250"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to the extent required prior to the time of any offer or sale of such Selling Securityholder's Ordinary Shares pursuant to this prospectus. Any prospectus may add, update, substitute, or change the information contained in this prospectus, including the identity of each Selling Securityholder and the number of Ordinary Shares registered on its behalf. A Selling Securityholder may sell or otherwise transfer all, some or none of such Ordinary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61616"/>
        </w:rPr>
        <w:t>Ordinary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3100" w:type="dxa"/>
            <w:vAlign w:val="bottom"/>
            <w:vMerge w:val="restart"/>
          </w:tcPr>
          <w:p>
            <w:pPr>
              <w:jc w:val="center"/>
              <w:ind w:left="737"/>
              <w:spacing w:after="0"/>
              <w:rPr>
                <w:sz w:val="20"/>
                <w:szCs w:val="20"/>
                <w:color w:val="auto"/>
              </w:rPr>
            </w:pPr>
            <w:r>
              <w:rPr>
                <w:rFonts w:ascii="Times New Roman" w:cs="Times New Roman" w:eastAsia="Times New Roman" w:hAnsi="Times New Roman"/>
                <w:sz w:val="16"/>
                <w:szCs w:val="16"/>
                <w:b w:val="1"/>
                <w:bCs w:val="1"/>
                <w:color w:val="161616"/>
              </w:rPr>
              <w:t>Securities</w:t>
            </w:r>
          </w:p>
        </w:tc>
        <w:tc>
          <w:tcPr>
            <w:tcW w:w="17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6"/>
                <w:szCs w:val="16"/>
                <w:b w:val="1"/>
                <w:bCs w:val="1"/>
                <w:color w:val="161616"/>
              </w:rPr>
              <w:t>Number of</w:t>
            </w:r>
          </w:p>
        </w:tc>
        <w:tc>
          <w:tcPr>
            <w:tcW w:w="1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161616"/>
              </w:rPr>
              <w:t>Securities</w:t>
            </w:r>
          </w:p>
        </w:tc>
        <w:tc>
          <w:tcPr>
            <w:tcW w:w="0" w:type="dxa"/>
            <w:vAlign w:val="bottom"/>
          </w:tcPr>
          <w:p>
            <w:pPr>
              <w:spacing w:after="0"/>
              <w:rPr>
                <w:sz w:val="1"/>
                <w:szCs w:val="1"/>
                <w:color w:val="auto"/>
              </w:rPr>
            </w:pPr>
          </w:p>
        </w:tc>
      </w:tr>
      <w:tr>
        <w:trPr>
          <w:trHeight w:val="94"/>
        </w:trPr>
        <w:tc>
          <w:tcPr>
            <w:tcW w:w="440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960" w:type="dxa"/>
            <w:vAlign w:val="bottom"/>
            <w:vMerge w:val="restart"/>
          </w:tcPr>
          <w:p>
            <w:pPr>
              <w:jc w:val="center"/>
              <w:ind w:right="77"/>
              <w:spacing w:after="0" w:line="148" w:lineRule="exact"/>
              <w:rPr>
                <w:sz w:val="20"/>
                <w:szCs w:val="20"/>
                <w:color w:val="auto"/>
              </w:rPr>
            </w:pPr>
            <w:r>
              <w:rPr>
                <w:rFonts w:ascii="Times New Roman" w:cs="Times New Roman" w:eastAsia="Times New Roman" w:hAnsi="Times New Roman"/>
                <w:sz w:val="16"/>
                <w:szCs w:val="16"/>
                <w:b w:val="1"/>
                <w:bCs w:val="1"/>
                <w:color w:val="161616"/>
                <w:w w:val="99"/>
              </w:rPr>
              <w:t>Beneficially</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3100" w:type="dxa"/>
            <w:vAlign w:val="bottom"/>
            <w:vMerge w:val="restart"/>
          </w:tcPr>
          <w:p>
            <w:pPr>
              <w:jc w:val="center"/>
              <w:ind w:left="737"/>
              <w:spacing w:after="0" w:line="148" w:lineRule="exact"/>
              <w:rPr>
                <w:sz w:val="20"/>
                <w:szCs w:val="20"/>
                <w:color w:val="auto"/>
              </w:rPr>
            </w:pPr>
            <w:r>
              <w:rPr>
                <w:rFonts w:ascii="Times New Roman" w:cs="Times New Roman" w:eastAsia="Times New Roman" w:hAnsi="Times New Roman"/>
                <w:sz w:val="16"/>
                <w:szCs w:val="16"/>
                <w:b w:val="1"/>
                <w:bCs w:val="1"/>
                <w:color w:val="161616"/>
              </w:rPr>
              <w:t>Beneficially Owned prior to</w:t>
            </w:r>
          </w:p>
        </w:tc>
        <w:tc>
          <w:tcPr>
            <w:tcW w:w="1780" w:type="dxa"/>
            <w:vAlign w:val="bottom"/>
            <w:vMerge w:val="restart"/>
          </w:tcPr>
          <w:p>
            <w:pPr>
              <w:jc w:val="center"/>
              <w:ind w:right="137"/>
              <w:spacing w:after="0" w:line="148" w:lineRule="exact"/>
              <w:rPr>
                <w:sz w:val="20"/>
                <w:szCs w:val="20"/>
                <w:color w:val="auto"/>
              </w:rPr>
            </w:pPr>
            <w:r>
              <w:rPr>
                <w:rFonts w:ascii="Times New Roman" w:cs="Times New Roman" w:eastAsia="Times New Roman" w:hAnsi="Times New Roman"/>
                <w:sz w:val="16"/>
                <w:szCs w:val="16"/>
                <w:b w:val="1"/>
                <w:bCs w:val="1"/>
                <w:color w:val="161616"/>
              </w:rPr>
              <w:t>Ordinary Shares</w:t>
            </w: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960" w:type="dxa"/>
            <w:vAlign w:val="bottom"/>
            <w:vMerge w:val="restart"/>
          </w:tcPr>
          <w:p>
            <w:pPr>
              <w:jc w:val="center"/>
              <w:ind w:right="77"/>
              <w:spacing w:after="0" w:line="148" w:lineRule="exact"/>
              <w:rPr>
                <w:sz w:val="20"/>
                <w:szCs w:val="20"/>
                <w:color w:val="auto"/>
              </w:rPr>
            </w:pPr>
            <w:r>
              <w:rPr>
                <w:rFonts w:ascii="Times New Roman" w:cs="Times New Roman" w:eastAsia="Times New Roman" w:hAnsi="Times New Roman"/>
                <w:sz w:val="16"/>
                <w:szCs w:val="16"/>
                <w:b w:val="1"/>
                <w:bCs w:val="1"/>
                <w:color w:val="161616"/>
              </w:rPr>
              <w:t>Owned after</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3100" w:type="dxa"/>
            <w:vAlign w:val="bottom"/>
            <w:vMerge w:val="restart"/>
          </w:tcPr>
          <w:p>
            <w:pPr>
              <w:jc w:val="center"/>
              <w:ind w:left="737"/>
              <w:spacing w:after="0"/>
              <w:rPr>
                <w:sz w:val="20"/>
                <w:szCs w:val="20"/>
                <w:color w:val="auto"/>
              </w:rPr>
            </w:pPr>
            <w:r>
              <w:rPr>
                <w:rFonts w:ascii="Times New Roman" w:cs="Times New Roman" w:eastAsia="Times New Roman" w:hAnsi="Times New Roman"/>
                <w:sz w:val="16"/>
                <w:szCs w:val="16"/>
                <w:b w:val="1"/>
                <w:bCs w:val="1"/>
                <w:color w:val="161616"/>
                <w:w w:val="95"/>
              </w:rPr>
              <w:t xml:space="preserve">This Offering </w:t>
            </w:r>
            <w:r>
              <w:rPr>
                <w:rFonts w:ascii="Times New Roman" w:cs="Times New Roman" w:eastAsia="Times New Roman" w:hAnsi="Times New Roman"/>
                <w:sz w:val="26"/>
                <w:szCs w:val="26"/>
                <w:b w:val="1"/>
                <w:bCs w:val="1"/>
                <w:color w:val="161616"/>
                <w:w w:val="95"/>
                <w:vertAlign w:val="superscript"/>
              </w:rPr>
              <w:t>(1)</w:t>
            </w:r>
          </w:p>
        </w:tc>
        <w:tc>
          <w:tcPr>
            <w:tcW w:w="17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6"/>
                <w:szCs w:val="16"/>
                <w:b w:val="1"/>
                <w:bCs w:val="1"/>
                <w:color w:val="161616"/>
                <w:w w:val="95"/>
              </w:rPr>
              <w:t>Offered</w:t>
            </w:r>
            <w:r>
              <w:rPr>
                <w:rFonts w:ascii="Times New Roman" w:cs="Times New Roman" w:eastAsia="Times New Roman" w:hAnsi="Times New Roman"/>
                <w:sz w:val="26"/>
                <w:szCs w:val="26"/>
                <w:b w:val="1"/>
                <w:bCs w:val="1"/>
                <w:color w:val="161616"/>
                <w:w w:val="95"/>
                <w:vertAlign w:val="superscript"/>
              </w:rPr>
              <w:t>(2)</w:t>
            </w: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161616"/>
              </w:rPr>
              <w:t>Name of Selling Securityholder</w:t>
            </w:r>
          </w:p>
        </w:tc>
        <w:tc>
          <w:tcPr>
            <w:tcW w:w="310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19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161616"/>
              </w:rPr>
              <w:t>This Offering</w:t>
            </w:r>
          </w:p>
        </w:tc>
        <w:tc>
          <w:tcPr>
            <w:tcW w:w="0" w:type="dxa"/>
            <w:vAlign w:val="bottom"/>
          </w:tcPr>
          <w:p>
            <w:pPr>
              <w:spacing w:after="0"/>
              <w:rPr>
                <w:sz w:val="1"/>
                <w:szCs w:val="1"/>
                <w:color w:val="auto"/>
              </w:rPr>
            </w:pPr>
          </w:p>
        </w:tc>
      </w:tr>
      <w:tr>
        <w:trPr>
          <w:trHeight w:val="100"/>
        </w:trPr>
        <w:tc>
          <w:tcPr>
            <w:tcW w:w="440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161616"/>
              </w:rPr>
              <w:t>Amazon.com NV Investment Holdings LLC</w:t>
            </w:r>
            <w:r>
              <w:rPr>
                <w:rFonts w:ascii="Times New Roman" w:cs="Times New Roman" w:eastAsia="Times New Roman" w:hAnsi="Times New Roman"/>
                <w:sz w:val="28"/>
                <w:szCs w:val="28"/>
                <w:color w:val="161616"/>
                <w:vertAlign w:val="superscript"/>
              </w:rPr>
              <w:t>(3)</w:t>
            </w:r>
          </w:p>
        </w:tc>
        <w:tc>
          <w:tcPr>
            <w:tcW w:w="310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color w:val="161616"/>
              </w:rPr>
              <w:t>562,627</w:t>
            </w:r>
          </w:p>
        </w:tc>
        <w:tc>
          <w:tcPr>
            <w:tcW w:w="178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8"/>
                <w:szCs w:val="18"/>
                <w:color w:val="131313"/>
                <w:w w:val="98"/>
              </w:rPr>
              <w:t>24,755,584</w:t>
            </w:r>
          </w:p>
        </w:tc>
        <w:tc>
          <w:tcPr>
            <w:tcW w:w="1960" w:type="dxa"/>
            <w:vAlign w:val="bottom"/>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161616"/>
              </w:rPr>
              <w:t>562,627</w:t>
            </w:r>
          </w:p>
        </w:tc>
        <w:tc>
          <w:tcPr>
            <w:tcW w:w="0" w:type="dxa"/>
            <w:vAlign w:val="bottom"/>
          </w:tcPr>
          <w:p>
            <w:pPr>
              <w:spacing w:after="0"/>
              <w:rPr>
                <w:sz w:val="1"/>
                <w:szCs w:val="1"/>
                <w:color w:val="auto"/>
              </w:rPr>
            </w:pPr>
          </w:p>
        </w:tc>
      </w:tr>
      <w:tr>
        <w:trPr>
          <w:trHeight w:val="34"/>
        </w:trPr>
        <w:tc>
          <w:tcPr>
            <w:tcW w:w="44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760" w:hanging="374"/>
        <w:spacing w:after="0" w:line="267" w:lineRule="auto"/>
        <w:tabs>
          <w:tab w:leader="none" w:pos="760" w:val="left"/>
        </w:tabs>
        <w:numPr>
          <w:ilvl w:val="0"/>
          <w:numId w:val="7"/>
        </w:numPr>
        <w:rPr>
          <w:rFonts w:ascii="Times New Roman" w:cs="Times New Roman" w:eastAsia="Times New Roman" w:hAnsi="Times New Roman"/>
          <w:sz w:val="16"/>
          <w:szCs w:val="16"/>
          <w:color w:val="161616"/>
        </w:rPr>
      </w:pPr>
      <w:r>
        <w:rPr>
          <w:rFonts w:ascii="Times New Roman" w:cs="Times New Roman" w:eastAsia="Times New Roman" w:hAnsi="Times New Roman"/>
          <w:sz w:val="16"/>
          <w:szCs w:val="16"/>
          <w:color w:val="161616"/>
        </w:rPr>
        <w:t>Represents 562,627 Ordinary Shares underlying the Warrant that have vested up until March 25, 2026. On the 6th month anniversary of the execution date of the Warrant, a further 562,627 of the Warrant Shares will vest, and the remainder of the Warrant Shares are subject to vesting in multiple traches over the term of the Warrant based on payments to us from or on behalf of Amazon or its affiliates under a commercial agreement or otherwise.</w:t>
      </w:r>
    </w:p>
    <w:p>
      <w:pPr>
        <w:spacing w:after="0" w:line="1" w:lineRule="exact"/>
        <w:rPr>
          <w:rFonts w:ascii="Times New Roman" w:cs="Times New Roman" w:eastAsia="Times New Roman" w:hAnsi="Times New Roman"/>
          <w:sz w:val="16"/>
          <w:szCs w:val="16"/>
          <w:color w:val="161616"/>
        </w:rPr>
      </w:pPr>
    </w:p>
    <w:p>
      <w:pPr>
        <w:ind w:left="760" w:hanging="374"/>
        <w:spacing w:after="0" w:line="264" w:lineRule="auto"/>
        <w:tabs>
          <w:tab w:leader="none" w:pos="760" w:val="left"/>
        </w:tabs>
        <w:numPr>
          <w:ilvl w:val="0"/>
          <w:numId w:val="7"/>
        </w:numPr>
        <w:rPr>
          <w:rFonts w:ascii="Times New Roman" w:cs="Times New Roman" w:eastAsia="Times New Roman" w:hAnsi="Times New Roman"/>
          <w:sz w:val="16"/>
          <w:szCs w:val="16"/>
          <w:color w:val="161616"/>
        </w:rPr>
      </w:pPr>
      <w:r>
        <w:rPr>
          <w:rFonts w:ascii="Times New Roman" w:cs="Times New Roman" w:eastAsia="Times New Roman" w:hAnsi="Times New Roman"/>
          <w:sz w:val="16"/>
          <w:szCs w:val="16"/>
          <w:color w:val="auto"/>
        </w:rPr>
        <w:t xml:space="preserve">The number of Ordinary Shares that may be offered by the Selling Securityholder is the maximum number of Ordinary </w:t>
      </w:r>
      <w:r>
        <w:rPr>
          <w:rFonts w:ascii="Times New Roman" w:cs="Times New Roman" w:eastAsia="Times New Roman" w:hAnsi="Times New Roman"/>
          <w:sz w:val="16"/>
          <w:szCs w:val="16"/>
          <w:color w:val="161616"/>
        </w:rPr>
        <w:t>Shares issuable to the Selling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61616"/>
        </w:rPr>
        <w:t xml:space="preserve">Securityholder upon exercise of the </w:t>
      </w:r>
      <w:r>
        <w:rPr>
          <w:rFonts w:ascii="Times New Roman" w:cs="Times New Roman" w:eastAsia="Times New Roman" w:hAnsi="Times New Roman"/>
          <w:sz w:val="16"/>
          <w:szCs w:val="16"/>
          <w:color w:val="131313"/>
        </w:rPr>
        <w:t>Warrant</w:t>
      </w:r>
      <w:r>
        <w:rPr>
          <w:rFonts w:ascii="Times New Roman" w:cs="Times New Roman" w:eastAsia="Times New Roman" w:hAnsi="Times New Roman"/>
          <w:sz w:val="16"/>
          <w:szCs w:val="16"/>
          <w:color w:val="161616"/>
        </w:rPr>
        <w:t xml:space="preserve">, assuming full vesting of the </w:t>
      </w:r>
      <w:r>
        <w:rPr>
          <w:rFonts w:ascii="Times New Roman" w:cs="Times New Roman" w:eastAsia="Times New Roman" w:hAnsi="Times New Roman"/>
          <w:sz w:val="16"/>
          <w:szCs w:val="16"/>
          <w:color w:val="131313"/>
        </w:rPr>
        <w:t>Warrant</w:t>
      </w:r>
      <w:r>
        <w:rPr>
          <w:rFonts w:ascii="Times New Roman" w:cs="Times New Roman" w:eastAsia="Times New Roman" w:hAnsi="Times New Roman"/>
          <w:sz w:val="16"/>
          <w:szCs w:val="16"/>
          <w:color w:val="161616"/>
        </w:rPr>
        <w:t>.</w:t>
      </w:r>
    </w:p>
    <w:p>
      <w:pPr>
        <w:jc w:val="both"/>
        <w:ind w:left="760" w:hanging="374"/>
        <w:spacing w:after="0" w:line="276" w:lineRule="auto"/>
        <w:tabs>
          <w:tab w:leader="none" w:pos="760" w:val="left"/>
        </w:tabs>
        <w:numPr>
          <w:ilvl w:val="0"/>
          <w:numId w:val="7"/>
        </w:numPr>
        <w:rPr>
          <w:rFonts w:ascii="Times New Roman" w:cs="Times New Roman" w:eastAsia="Times New Roman" w:hAnsi="Times New Roman"/>
          <w:sz w:val="16"/>
          <w:szCs w:val="16"/>
          <w:color w:val="161616"/>
        </w:rPr>
      </w:pPr>
      <w:r>
        <w:rPr>
          <w:rFonts w:ascii="Times New Roman" w:cs="Times New Roman" w:eastAsia="Times New Roman" w:hAnsi="Times New Roman"/>
          <w:sz w:val="16"/>
          <w:szCs w:val="16"/>
          <w:color w:val="161616"/>
        </w:rPr>
        <w:t>The Selling Securityholder is a wholly-owned subsidiary of Amazon. Amazon has sole voting and investment power with respect to any Ordinary Shares held by the Selling Securityholder. The address of Amazon.com NV Investment Holdings LLC is c/o Amazon.com, Inc., 410 Terry Avenue North, Seattle, Washington 98109.</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MATERIAL DUTCH TAX CONSIDERATIONS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Discussion</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This section only outlines certain material Dutch tax consequences of the acquisition, holding and disposal of Ordinary Shares. This section does not purport to describe all possible tax considerations or consequences that may be relevant to a holder or prospective holder of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7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section is intended as general information only and is not Dutch tax advice or a complete description of all Dutch tax consequences relating to the acquisition, holding and disposal of the Ordinary Shares. Holders or prospective holders of Ordinary Shares should consult their own tax advisor regarding the Dutch tax consequences relating to the acquisition, holding and disposal of Ordinary Shares in light of their particular circumstances.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131313"/>
        </w:rPr>
        <w:t>This section does not describe any Dutch tax considerations or consequences arising from the Dutch Minimum Tax Act 2024 (</w:t>
      </w:r>
      <w:r>
        <w:rPr>
          <w:rFonts w:ascii="Times New Roman" w:cs="Times New Roman" w:eastAsia="Times New Roman" w:hAnsi="Times New Roman"/>
          <w:sz w:val="18"/>
          <w:szCs w:val="18"/>
          <w:i w:val="1"/>
          <w:iCs w:val="1"/>
          <w:color w:val="131313"/>
        </w:rPr>
        <w:t>Wet minimumbelasting</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131313"/>
        </w:rPr>
        <w:t>2024</w:t>
      </w:r>
      <w:r>
        <w:rPr>
          <w:rFonts w:ascii="Times New Roman" w:cs="Times New Roman" w:eastAsia="Times New Roman" w:hAnsi="Times New Roman"/>
          <w:sz w:val="18"/>
          <w:szCs w:val="18"/>
          <w:color w:val="131313"/>
        </w:rPr>
        <w:t>; the Dutch implementation of Directive (EU) 2022/2523 of 14 December 2022 on ensuring a global minimum level of taxation for multinational</w:t>
      </w:r>
      <w:r>
        <w:rPr>
          <w:rFonts w:ascii="Times New Roman" w:cs="Times New Roman" w:eastAsia="Times New Roman" w:hAnsi="Times New Roman"/>
          <w:sz w:val="18"/>
          <w:szCs w:val="18"/>
          <w:i w:val="1"/>
          <w:iCs w:val="1"/>
          <w:color w:val="131313"/>
        </w:rPr>
        <w:t xml:space="preserve"> </w:t>
      </w:r>
      <w:r>
        <w:rPr>
          <w:rFonts w:ascii="Times New Roman" w:cs="Times New Roman" w:eastAsia="Times New Roman" w:hAnsi="Times New Roman"/>
          <w:sz w:val="18"/>
          <w:szCs w:val="18"/>
          <w:color w:val="131313"/>
        </w:rPr>
        <w:t>enterprise groups and large-scale domestic groups in the European Union) which may be relevant for a particular holder.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131313"/>
        </w:rPr>
        <w:t>Please note that this section does not describe the Dutch tax consequences for:</w:t>
      </w:r>
    </w:p>
    <w:p>
      <w:pPr>
        <w:spacing w:after="0" w:line="223" w:lineRule="exact"/>
        <w:rPr>
          <w:sz w:val="20"/>
          <w:szCs w:val="20"/>
          <w:color w:val="auto"/>
        </w:rPr>
      </w:pPr>
    </w:p>
    <w:p>
      <w:pPr>
        <w:jc w:val="both"/>
        <w:ind w:left="660" w:hanging="328"/>
        <w:spacing w:after="0" w:line="24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Ordinary Shares if such holder has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deemed substantial interest (</w:t>
      </w:r>
      <w:r>
        <w:rPr>
          <w:rFonts w:ascii="Times New Roman" w:cs="Times New Roman" w:eastAsia="Times New Roman" w:hAnsi="Times New Roman"/>
          <w:sz w:val="18"/>
          <w:szCs w:val="18"/>
          <w:i w:val="1"/>
          <w:iCs w:val="1"/>
          <w:color w:val="auto"/>
        </w:rPr>
        <w:t>fictief aanmerkelijk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belang</w:t>
      </w:r>
      <w:r>
        <w:rPr>
          <w:rFonts w:ascii="Times New Roman" w:cs="Times New Roman" w:eastAsia="Times New Roman" w:hAnsi="Times New Roman"/>
          <w:sz w:val="18"/>
          <w:szCs w:val="18"/>
          <w:color w:val="auto"/>
        </w:rPr>
        <w:t>) in STM under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a holder is considered to hold a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STM,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STM or of 5% or more of the issued and outstanding capital of a certain class of shares; or (ii) rights to acquire, directly or indirectly, such interest; or (iii) certain profit sharing rights that relate to 5% or more of STM’s annual profits or to 5% or more of STM’s liquidation proceeds. A deemed substantial interest may arise if a substantial interest (or part thereof) in STM has been disposed of, or is deemed to have been disposed of, on a non-recognition basis;</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Ordinary Shares if the Ordinary Shares held by such holder qualify or qualified as a participation (</w:t>
      </w:r>
      <w:r>
        <w:rPr>
          <w:rFonts w:ascii="Times New Roman" w:cs="Times New Roman" w:eastAsia="Times New Roman" w:hAnsi="Times New Roman"/>
          <w:sz w:val="18"/>
          <w:szCs w:val="18"/>
          <w:i w:val="1"/>
          <w:iCs w:val="1"/>
          <w:color w:val="auto"/>
        </w:rPr>
        <w:t>deelneming</w:t>
      </w:r>
      <w:r>
        <w:rPr>
          <w:rFonts w:ascii="Times New Roman" w:cs="Times New Roman" w:eastAsia="Times New Roman" w:hAnsi="Times New Roman"/>
          <w:sz w:val="18"/>
          <w:szCs w:val="18"/>
          <w:color w:val="auto"/>
        </w:rPr>
        <w:t>) for purposes of the Dutch Corporate Income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Generally, a holder's shareholding, or right to acquire, of 5% or more in STM’s nominal paid-up share capital qualifies as a participation. A holder may also have a participation if such holder does not have a shareholding of 5% or more but a related entity (statutorily defined term) has a participation, or STM is a related entity (statutorily defined term);</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Ordinary Shares in respect of which STM is required to apply the dividend withholding tax exemption (</w:t>
      </w:r>
      <w:r>
        <w:rPr>
          <w:rFonts w:ascii="Times New Roman" w:cs="Times New Roman" w:eastAsia="Times New Roman" w:hAnsi="Times New Roman"/>
          <w:sz w:val="18"/>
          <w:szCs w:val="18"/>
          <w:i w:val="1"/>
          <w:iCs w:val="1"/>
          <w:color w:val="auto"/>
        </w:rPr>
        <w:t>inhoudingsvrijstelling</w:t>
      </w:r>
      <w:r>
        <w:rPr>
          <w:rFonts w:ascii="Times New Roman" w:cs="Times New Roman" w:eastAsia="Times New Roman" w:hAnsi="Times New Roman"/>
          <w:sz w:val="18"/>
          <w:szCs w:val="18"/>
          <w:color w:val="auto"/>
        </w:rPr>
        <w:t>) with respect to any income (</w:t>
      </w:r>
      <w:r>
        <w:rPr>
          <w:rFonts w:ascii="Times New Roman" w:cs="Times New Roman" w:eastAsia="Times New Roman" w:hAnsi="Times New Roman"/>
          <w:sz w:val="18"/>
          <w:szCs w:val="18"/>
          <w:i w:val="1"/>
          <w:iCs w:val="1"/>
          <w:color w:val="auto"/>
        </w:rPr>
        <w:t>opbrengst</w:t>
      </w:r>
      <w:r>
        <w:rPr>
          <w:rFonts w:ascii="Times New Roman" w:cs="Times New Roman" w:eastAsia="Times New Roman" w:hAnsi="Times New Roman"/>
          <w:sz w:val="18"/>
          <w:szCs w:val="18"/>
          <w:color w:val="auto"/>
        </w:rPr>
        <w:t>) derived from the Ordinary Shares (as defined in Article 4 of the Dutch Dividend Withholding Tax Act 1965 (</w:t>
      </w:r>
      <w:r>
        <w:rPr>
          <w:rFonts w:ascii="Times New Roman" w:cs="Times New Roman" w:eastAsia="Times New Roman" w:hAnsi="Times New Roman"/>
          <w:sz w:val="18"/>
          <w:szCs w:val="18"/>
          <w:i w:val="1"/>
          <w:iCs w:val="1"/>
          <w:color w:val="auto"/>
        </w:rPr>
        <w:t>Wet op de dividendbelasting</w:t>
      </w:r>
      <w:r>
        <w:rPr>
          <w:rFonts w:ascii="Times New Roman" w:cs="Times New Roman" w:eastAsia="Times New Roman" w:hAnsi="Times New Roman"/>
          <w:sz w:val="18"/>
          <w:szCs w:val="18"/>
          <w:color w:val="auto"/>
        </w:rPr>
        <w:t>)). Generally, STM is required to apply, subject to certain other requirements, the dividend withholding tax exemption if the holder of Ordinary Shares is an entity and holds an interest of 5% or more in STM’s nominal paid-up share capital;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left="660" w:hanging="328"/>
        <w:spacing w:after="0" w:line="24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 investment institutions (</w:t>
      </w:r>
      <w:r>
        <w:rPr>
          <w:rFonts w:ascii="Times New Roman" w:cs="Times New Roman" w:eastAsia="Times New Roman" w:hAnsi="Times New Roman"/>
          <w:sz w:val="18"/>
          <w:szCs w:val="18"/>
          <w:i w:val="1"/>
          <w:iCs w:val="1"/>
          <w:color w:val="auto"/>
        </w:rPr>
        <w:t>fiscale beleggingsinstellingen</w:t>
      </w:r>
      <w:r>
        <w:rPr>
          <w:rFonts w:ascii="Times New Roman" w:cs="Times New Roman" w:eastAsia="Times New Roman" w:hAnsi="Times New Roman"/>
          <w:sz w:val="18"/>
          <w:szCs w:val="18"/>
          <w:color w:val="auto"/>
        </w:rPr>
        <w:t>) and tax-exempt investment institutions (</w:t>
      </w:r>
      <w:r>
        <w:rPr>
          <w:rFonts w:ascii="Times New Roman" w:cs="Times New Roman" w:eastAsia="Times New Roman" w:hAnsi="Times New Roman"/>
          <w:sz w:val="18"/>
          <w:szCs w:val="18"/>
          <w:i w:val="1"/>
          <w:iCs w:val="1"/>
          <w:color w:val="auto"/>
        </w:rPr>
        <w:t>vrijgestelde beleggingsinstellingen</w:t>
      </w:r>
      <w:r>
        <w:rPr>
          <w:rFonts w:ascii="Times New Roman" w:cs="Times New Roman" w:eastAsia="Times New Roman" w:hAnsi="Times New Roman"/>
          <w:sz w:val="18"/>
          <w:szCs w:val="18"/>
          <w:color w:val="auto"/>
        </w:rPr>
        <w:t>) (each as defined in the Dutch Corporate Income Tax Act 1969) and other entities that are, in whole or in part, not subject to or exempt from Dutch corporate income tax, entities that have a function comparable to an investment institution or a tax-exempt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Ordinary Shares if such holder is an individual for whom the Ordinary Shares or any benefit derived from the Ordinary Shares is a remuneration or deemed to be a remuneration for (employment) activities performed by such holder or certain individuals related to such holder (as defined in the Dutch Income Tax Act 2001); and</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that are entities resident in Aruba, Curaçao, or Sint Maarten, conducting a business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permanent representative (</w:t>
      </w:r>
      <w:r>
        <w:rPr>
          <w:rFonts w:ascii="Times New Roman" w:cs="Times New Roman" w:eastAsia="Times New Roman" w:hAnsi="Times New Roman"/>
          <w:sz w:val="18"/>
          <w:szCs w:val="18"/>
          <w:i w:val="1"/>
          <w:iCs w:val="1"/>
          <w:color w:val="auto"/>
        </w:rPr>
        <w:t>vaste vertegenwoordiger</w:t>
      </w:r>
      <w:r>
        <w:rPr>
          <w:rFonts w:ascii="Times New Roman" w:cs="Times New Roman" w:eastAsia="Times New Roman" w:hAnsi="Times New Roman"/>
          <w:sz w:val="18"/>
          <w:szCs w:val="18"/>
          <w:color w:val="auto"/>
        </w:rPr>
        <w:t>) in Bonaire, Sint Eustatius, or Saba, to which the Ordinary Shares are attributable.</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Withholding Tax on Dividends</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Regular Dutch Dividend Withholding Tax</w:t>
      </w:r>
    </w:p>
    <w:p>
      <w:pPr>
        <w:spacing w:after="0" w:line="227"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131313"/>
        </w:rPr>
        <w:t>Dividends distributed by STM are generally subject to Dutch dividend withholding tax at a rate of 15%. Generally, STM is responsible for the withholding of such dividend withholding tax at source; the Dutch dividend withholding tax is for the account of the holder of Ordinary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131313"/>
        </w:rPr>
        <w:t>The expression "dividends distributed" includes, but is not limited to:</w:t>
      </w:r>
    </w:p>
    <w:p>
      <w:pPr>
        <w:spacing w:after="0" w:line="225" w:lineRule="exact"/>
        <w:rPr>
          <w:sz w:val="20"/>
          <w:szCs w:val="20"/>
          <w:color w:val="auto"/>
        </w:rPr>
      </w:pPr>
    </w:p>
    <w:p>
      <w:pPr>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distributions in cash or in kind, deemed and constructive distributions and repayments of paid-in capital not recognized for Dutch dividend withholding tax purposes;</w:t>
      </w:r>
    </w:p>
    <w:p>
      <w:pPr>
        <w:spacing w:after="0" w:line="175" w:lineRule="exact"/>
        <w:rPr>
          <w:rFonts w:ascii="Times New Roman" w:cs="Times New Roman" w:eastAsia="Times New Roman" w:hAnsi="Times New Roman"/>
          <w:sz w:val="18"/>
          <w:szCs w:val="18"/>
          <w:color w:val="131313"/>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 xml:space="preserve">liquidation proceeds, proceeds from the redemption of Ordinary Shares, or proceeds from the repurchase of Ordinary Shares (other than as temporary portfolio investment; </w:t>
      </w:r>
      <w:r>
        <w:rPr>
          <w:rFonts w:ascii="Times New Roman" w:cs="Times New Roman" w:eastAsia="Times New Roman" w:hAnsi="Times New Roman"/>
          <w:sz w:val="18"/>
          <w:szCs w:val="18"/>
          <w:i w:val="1"/>
          <w:iCs w:val="1"/>
          <w:color w:val="131313"/>
        </w:rPr>
        <w:t>tijdelijke belegging</w:t>
      </w:r>
      <w:r>
        <w:rPr>
          <w:rFonts w:ascii="Times New Roman" w:cs="Times New Roman" w:eastAsia="Times New Roman" w:hAnsi="Times New Roman"/>
          <w:sz w:val="18"/>
          <w:szCs w:val="18"/>
          <w:color w:val="131313"/>
        </w:rPr>
        <w:t>) by STM or one of STM’s subsidiaries or other affiliated entities, in each case to the extent such proceeds exceed the average paid-in capital of those Ordinary Shares as recognized for Dutch dividend withholding tax purposes;</w:t>
      </w:r>
    </w:p>
    <w:p>
      <w:pPr>
        <w:spacing w:after="0" w:line="190" w:lineRule="exact"/>
        <w:rPr>
          <w:rFonts w:ascii="Times New Roman" w:cs="Times New Roman" w:eastAsia="Times New Roman" w:hAnsi="Times New Roman"/>
          <w:sz w:val="18"/>
          <w:szCs w:val="18"/>
          <w:color w:val="131313"/>
        </w:rPr>
      </w:pPr>
    </w:p>
    <w:p>
      <w:pPr>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an amount equal to the nominal value of the Ordinary Shares issued or an increase of the nominal value of the Ordinary Shares, to the extent that no related contribution, recognized for Dutch dividend withholding tax purposes, has been made or will be made; and</w:t>
      </w:r>
    </w:p>
    <w:p>
      <w:pPr>
        <w:spacing w:after="0" w:line="175" w:lineRule="exact"/>
        <w:rPr>
          <w:rFonts w:ascii="Times New Roman" w:cs="Times New Roman" w:eastAsia="Times New Roman" w:hAnsi="Times New Roman"/>
          <w:sz w:val="18"/>
          <w:szCs w:val="18"/>
          <w:color w:val="131313"/>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partial repayment of the paid-in capital recognized for Dutch dividend withholding tax purposes, if and to the extent that STM has “net profits” (</w:t>
      </w:r>
      <w:r>
        <w:rPr>
          <w:rFonts w:ascii="Times New Roman" w:cs="Times New Roman" w:eastAsia="Times New Roman" w:hAnsi="Times New Roman"/>
          <w:sz w:val="18"/>
          <w:szCs w:val="18"/>
          <w:i w:val="1"/>
          <w:iCs w:val="1"/>
          <w:color w:val="131313"/>
        </w:rPr>
        <w:t>zuivere winst</w:t>
      </w:r>
      <w:r>
        <w:rPr>
          <w:rFonts w:ascii="Times New Roman" w:cs="Times New Roman" w:eastAsia="Times New Roman" w:hAnsi="Times New Roman"/>
          <w:sz w:val="18"/>
          <w:szCs w:val="18"/>
          <w:color w:val="131313"/>
        </w:rPr>
        <w:t>), unless (i) the STM’s general meeting of shareholders has resolved in advance to make such repayment and (ii) the nominal value of the Ordinary Shares concerned has been reduced by an equal amount by way of an amendment to STM’s Articles. The term "net profits" includes anticipated profits that have yet to be realized.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5" w:name="page26"/>
    <w:bookmarkEnd w:id="25"/>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Ordinary Shares that are neither resident nor deemed to be resident of The Netherlands (“Non-Resident Holders”) if the Ordinary Shares are attributable to a Dutch permanent establishment of such Non-Resident Holder.</w:t>
      </w:r>
    </w:p>
    <w:p>
      <w:pPr>
        <w:spacing w:after="0" w:line="179" w:lineRule="exact"/>
        <w:rPr>
          <w:sz w:val="20"/>
          <w:szCs w:val="20"/>
          <w:color w:val="auto"/>
        </w:rPr>
      </w:pPr>
    </w:p>
    <w:p>
      <w:pPr>
        <w:jc w:val="both"/>
        <w:ind w:right="20" w:firstLine="382"/>
        <w:spacing w:after="0" w:line="258" w:lineRule="auto"/>
        <w:rPr>
          <w:sz w:val="20"/>
          <w:szCs w:val="20"/>
          <w:color w:val="auto"/>
        </w:rPr>
      </w:pPr>
      <w:r>
        <w:rPr>
          <w:rFonts w:ascii="Times New Roman" w:cs="Times New Roman" w:eastAsia="Times New Roman" w:hAnsi="Times New Roman"/>
          <w:sz w:val="18"/>
          <w:szCs w:val="18"/>
          <w:color w:val="131313"/>
        </w:rPr>
        <w:t>A holder of Ordinary Shares resident of a country other than The Netherlands may, depending on such holder's specific circumstances, be entitled to exemptions from, reduction of, or full or partial refund of, Dutch dividend withholding tax under Dutch domestic tax law, EU law, or treaties for the avoidance of double taxation in effect between The Netherlands and such other country.</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Dividend stripping</w:t>
      </w:r>
    </w:p>
    <w:p>
      <w:pPr>
        <w:spacing w:after="0" w:line="214"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8"/>
          <w:szCs w:val="18"/>
          <w:color w:val="131313"/>
        </w:rPr>
        <w:t>According to Dutch domestic anti-dividend stripping rules, no credit against Dutch tax, exemption from, reduction, or refund of Dutch dividend withholding tax will be granted if the recipient of the dividends STM paid is not considered the beneficial owner (</w:t>
      </w:r>
      <w:r>
        <w:rPr>
          <w:rFonts w:ascii="Times New Roman" w:cs="Times New Roman" w:eastAsia="Times New Roman" w:hAnsi="Times New Roman"/>
          <w:sz w:val="18"/>
          <w:szCs w:val="18"/>
          <w:i w:val="1"/>
          <w:iCs w:val="1"/>
          <w:color w:val="131313"/>
        </w:rPr>
        <w:t>uiteindelijk gerechtigde</w:t>
      </w:r>
      <w:r>
        <w:rPr>
          <w:rFonts w:ascii="Times New Roman" w:cs="Times New Roman" w:eastAsia="Times New Roman" w:hAnsi="Times New Roman"/>
          <w:sz w:val="18"/>
          <w:szCs w:val="18"/>
          <w:color w:val="131313"/>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STM rests on the Dutch tax authorities. If, however, a shareholder would receive dividends, including dividends on the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the Ordinary Shares, it has been codified that the record date is used when determining the person who is entitled to the dividend.</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Conditional Withholding Tax on Dividends</w:t>
      </w:r>
    </w:p>
    <w:p>
      <w:pPr>
        <w:spacing w:after="0" w:line="214"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131313"/>
        </w:rPr>
        <w:t>In addition to the regular Dutch dividend withholding tax as described above, a Dutch conditional withholding tax will be imposed on dividends distributed by STM to a Related Entity (as defined below), if such Related Entity:</w:t>
      </w:r>
    </w:p>
    <w:p>
      <w:pPr>
        <w:jc w:val="both"/>
        <w:ind w:left="660" w:hanging="328"/>
        <w:spacing w:after="0" w:line="246" w:lineRule="auto"/>
        <w:tabs>
          <w:tab w:leader="none" w:pos="660" w:val="left"/>
        </w:tabs>
        <w:numPr>
          <w:ilvl w:val="0"/>
          <w:numId w:val="11"/>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is considered to be resident (</w:t>
      </w:r>
      <w:r>
        <w:rPr>
          <w:rFonts w:ascii="Times New Roman" w:cs="Times New Roman" w:eastAsia="Times New Roman" w:hAnsi="Times New Roman"/>
          <w:sz w:val="18"/>
          <w:szCs w:val="18"/>
          <w:i w:val="1"/>
          <w:iCs w:val="1"/>
          <w:color w:val="131313"/>
        </w:rPr>
        <w:t>gevestigd</w:t>
      </w:r>
      <w:r>
        <w:rPr>
          <w:rFonts w:ascii="Times New Roman" w:cs="Times New Roman" w:eastAsia="Times New Roman" w:hAnsi="Times New Roman"/>
          <w:sz w:val="18"/>
          <w:szCs w:val="18"/>
          <w:color w:val="131313"/>
        </w:rPr>
        <w:t>) in a jurisdiction that is listed in the yearly updated Dutch Regulation on low-taxing states and non-cooperative jurisdictions for tax purposes (</w:t>
      </w:r>
      <w:r>
        <w:rPr>
          <w:rFonts w:ascii="Times New Roman" w:cs="Times New Roman" w:eastAsia="Times New Roman" w:hAnsi="Times New Roman"/>
          <w:sz w:val="18"/>
          <w:szCs w:val="18"/>
          <w:i w:val="1"/>
          <w:iCs w:val="1"/>
          <w:color w:val="131313"/>
        </w:rPr>
        <w:t>Regeling laagbelastende staten en niet-coöperatieve rechtsgebieden voor belastingdoeleinden</w:t>
      </w:r>
      <w:r>
        <w:rPr>
          <w:rFonts w:ascii="Times New Roman" w:cs="Times New Roman" w:eastAsia="Times New Roman" w:hAnsi="Times New Roman"/>
          <w:sz w:val="18"/>
          <w:szCs w:val="18"/>
          <w:color w:val="131313"/>
        </w:rPr>
        <w:t>) (a “Listed Jurisdiction”); or</w:t>
      </w:r>
    </w:p>
    <w:p>
      <w:pPr>
        <w:spacing w:after="0" w:line="180" w:lineRule="exact"/>
        <w:rPr>
          <w:rFonts w:ascii="Times New Roman" w:cs="Times New Roman" w:eastAsia="Times New Roman" w:hAnsi="Times New Roman"/>
          <w:sz w:val="18"/>
          <w:szCs w:val="18"/>
          <w:color w:val="131313"/>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has a permanent establishment located in a Listed Jurisdiction to which the Ordinary Shares are attributable; or</w:t>
      </w:r>
    </w:p>
    <w:p>
      <w:pPr>
        <w:spacing w:after="0" w:line="211" w:lineRule="exact"/>
        <w:rPr>
          <w:rFonts w:ascii="Times New Roman" w:cs="Times New Roman" w:eastAsia="Times New Roman" w:hAnsi="Times New Roman"/>
          <w:sz w:val="18"/>
          <w:szCs w:val="18"/>
          <w:color w:val="131313"/>
        </w:rPr>
      </w:pPr>
    </w:p>
    <w:p>
      <w:pPr>
        <w:ind w:left="660" w:right="20" w:hanging="328"/>
        <w:spacing w:after="0" w:line="266" w:lineRule="auto"/>
        <w:tabs>
          <w:tab w:leader="none" w:pos="660" w:val="left"/>
        </w:tabs>
        <w:numPr>
          <w:ilvl w:val="0"/>
          <w:numId w:val="11"/>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is not considered to be the beneficial owner of the Ordinary Shares in its jurisdiction of residence because such jurisdiction treats another entity as the beneficial owner of the Ordinary Shares (a hybrid mismatch); or</w:t>
      </w:r>
    </w:p>
    <w:p>
      <w:pPr>
        <w:spacing w:after="0" w:line="175" w:lineRule="exact"/>
        <w:rPr>
          <w:rFonts w:ascii="Times New Roman" w:cs="Times New Roman" w:eastAsia="Times New Roman" w:hAnsi="Times New Roman"/>
          <w:sz w:val="18"/>
          <w:szCs w:val="18"/>
          <w:color w:val="131313"/>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is not resident in any jurisdiction (also a hybrid mismatch); or</w:t>
      </w:r>
    </w:p>
    <w:p>
      <w:pPr>
        <w:spacing w:after="0" w:line="211" w:lineRule="exact"/>
        <w:rPr>
          <w:rFonts w:ascii="Times New Roman" w:cs="Times New Roman" w:eastAsia="Times New Roman" w:hAnsi="Times New Roman"/>
          <w:sz w:val="18"/>
          <w:szCs w:val="18"/>
          <w:color w:val="131313"/>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is a reverse hybrid (within the meaning of Article 2(11) of the Dutch Corporate Income Tax Act 1969), if and to the extent (x) there is a participant in the reverse hybrid holding a Qualifying Interest in the reverse hybrid, (y) the jurisdiction of residence of such participant treats the reverse hybrid as transparent for tax purposes and (z) such participant would have been subject to the Dutch conditional withholding tax in respect of dividends distributed by STM without the interposition of the reverse hybrid,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31313"/>
        </w:rPr>
        <w:t>all within the meaning of the Dutch Withholding Tax Act 2021 (</w:t>
      </w:r>
      <w:r>
        <w:rPr>
          <w:rFonts w:ascii="Times New Roman" w:cs="Times New Roman" w:eastAsia="Times New Roman" w:hAnsi="Times New Roman"/>
          <w:sz w:val="18"/>
          <w:szCs w:val="18"/>
          <w:i w:val="1"/>
          <w:iCs w:val="1"/>
          <w:color w:val="131313"/>
        </w:rPr>
        <w:t>Wet bronbelasting 2021</w:t>
      </w:r>
      <w:r>
        <w:rPr>
          <w:rFonts w:ascii="Times New Roman" w:cs="Times New Roman" w:eastAsia="Times New Roman" w:hAnsi="Times New Roman"/>
          <w:sz w:val="18"/>
          <w:szCs w:val="18"/>
          <w:color w:val="131313"/>
        </w:rPr>
        <w: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131313"/>
        </w:rPr>
        <w:t>For purposes of this section:</w:t>
      </w:r>
    </w:p>
    <w:p>
      <w:pPr>
        <w:spacing w:after="0" w:line="225" w:lineRule="exact"/>
        <w:rPr>
          <w:sz w:val="20"/>
          <w:szCs w:val="20"/>
          <w:color w:val="auto"/>
        </w:rPr>
      </w:pPr>
    </w:p>
    <w:p>
      <w:pPr>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“Related Entity” means an entity (i) that has a Qualifying Interest in the Company or (ii) in which a third party has a Qualifying Interest if such third party also has a Qualifying Interest in the Company.</w:t>
      </w:r>
    </w:p>
    <w:p>
      <w:pPr>
        <w:spacing w:after="0" w:line="175" w:lineRule="exact"/>
        <w:rPr>
          <w:rFonts w:ascii="Times New Roman" w:cs="Times New Roman" w:eastAsia="Times New Roman" w:hAnsi="Times New Roman"/>
          <w:sz w:val="18"/>
          <w:szCs w:val="18"/>
          <w:color w:val="131313"/>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131313"/>
        </w:rPr>
      </w:pPr>
      <w:r>
        <w:rPr>
          <w:rFonts w:ascii="Times New Roman" w:cs="Times New Roman" w:eastAsia="Times New Roman" w:hAnsi="Times New Roman"/>
          <w:sz w:val="17"/>
          <w:szCs w:val="17"/>
          <w:color w:val="131313"/>
        </w:rPr>
        <w:t>“Qualifying Interest” means a direct or indirectly held interest – either by an entity individually or, if an entity is part of a Qualifying Unity, jointly</w:t>
      </w:r>
    </w:p>
    <w:p>
      <w:pPr>
        <w:spacing w:after="0" w:line="27" w:lineRule="exact"/>
        <w:rPr>
          <w:rFonts w:ascii="Times New Roman" w:cs="Times New Roman" w:eastAsia="Times New Roman" w:hAnsi="Times New Roman"/>
          <w:sz w:val="17"/>
          <w:szCs w:val="17"/>
          <w:color w:val="131313"/>
        </w:rPr>
      </w:pPr>
    </w:p>
    <w:p>
      <w:pPr>
        <w:jc w:val="both"/>
        <w:ind w:left="660"/>
        <w:spacing w:after="0" w:line="246" w:lineRule="auto"/>
        <w:rPr>
          <w:rFonts w:ascii="Times New Roman" w:cs="Times New Roman" w:eastAsia="Times New Roman" w:hAnsi="Times New Roman"/>
          <w:sz w:val="17"/>
          <w:szCs w:val="17"/>
          <w:color w:val="131313"/>
        </w:rPr>
      </w:pPr>
      <w:r>
        <w:rPr>
          <w:rFonts w:ascii="Times New Roman" w:cs="Times New Roman" w:eastAsia="Times New Roman" w:hAnsi="Times New Roman"/>
          <w:sz w:val="18"/>
          <w:szCs w:val="18"/>
          <w:color w:val="131313"/>
        </w:rPr>
        <w:t>– 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 w:cs="Times New Roman" w:eastAsia="Times New Roman" w:hAnsi="Times New Roman"/>
          <w:sz w:val="18"/>
          <w:szCs w:val="18"/>
          <w:i w:val="1"/>
          <w:iCs w:val="1"/>
          <w:color w:val="131313"/>
        </w:rPr>
        <w:t>vrijheid van</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i w:val="1"/>
          <w:iCs w:val="1"/>
          <w:color w:val="131313"/>
        </w:rPr>
        <w:t>vestiging</w:t>
      </w:r>
      <w:r>
        <w:rPr>
          <w:rFonts w:ascii="Times New Roman" w:cs="Times New Roman" w:eastAsia="Times New Roman" w:hAnsi="Times New Roman"/>
          <w:sz w:val="18"/>
          <w:szCs w:val="18"/>
          <w:color w:val="131313"/>
        </w:rPr>
        <w:t>)).</w:t>
      </w:r>
    </w:p>
    <w:p>
      <w:pPr>
        <w:spacing w:after="0" w:line="180" w:lineRule="exact"/>
        <w:rPr>
          <w:rFonts w:ascii="Times New Roman" w:cs="Times New Roman" w:eastAsia="Times New Roman" w:hAnsi="Times New Roman"/>
          <w:sz w:val="17"/>
          <w:szCs w:val="17"/>
          <w:color w:val="131313"/>
        </w:rPr>
      </w:pPr>
    </w:p>
    <w:p>
      <w:pPr>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“Qualifying Unity” means entities acting together with the main purpose or one of the main purposes of avoiding Dutch conditional withholding tax at the level of any of those entities (</w:t>
      </w:r>
      <w:r>
        <w:rPr>
          <w:rFonts w:ascii="Times New Roman" w:cs="Times New Roman" w:eastAsia="Times New Roman" w:hAnsi="Times New Roman"/>
          <w:sz w:val="18"/>
          <w:szCs w:val="18"/>
          <w:i w:val="1"/>
          <w:iCs w:val="1"/>
          <w:color w:val="131313"/>
        </w:rPr>
        <w:t>kwalificerende eenheid</w:t>
      </w:r>
      <w:r>
        <w:rPr>
          <w:rFonts w:ascii="Times New Roman" w:cs="Times New Roman" w:eastAsia="Times New Roman" w:hAnsi="Times New Roman"/>
          <w:sz w:val="18"/>
          <w:szCs w:val="18"/>
          <w:color w:val="131313"/>
        </w:rPr>
        <w:t>).</w:t>
      </w:r>
    </w:p>
    <w:p>
      <w:pPr>
        <w:spacing w:after="0" w:line="176"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The Dutch conditional withholding tax on dividends will be imposed at the highest Dutch corporate income tax rate in effect at the time of the distribution (2026: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(2026: 25.8%).</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Taxes on income and capital gains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131313"/>
        </w:rPr>
        <w:t>Dutch Resident Entities</w:t>
      </w:r>
    </w:p>
    <w:p>
      <w:pPr>
        <w:spacing w:after="0" w:line="21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31313"/>
        </w:rPr>
        <w:t>Generally, if the holder of Ordinary Shares is a Dutch Resident Entity, any income derived or deemed to be derived from the Ordinary Shares or any capital gains realized on the disposal or deemed disposal or exercise, as applicable of the Ordinary Shares is subject to Dutch corporate income tax at a rate of 19% with respect to taxable profits up to €200,000 and 25.8% with respect to taxable profits in excess of that amount (rates and brackets for 2026).</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i w:val="1"/>
          <w:iCs w:val="1"/>
          <w:color w:val="131313"/>
        </w:rPr>
        <w:t>Dutch Resident Individuals</w:t>
      </w:r>
    </w:p>
    <w:p>
      <w:pPr>
        <w:spacing w:after="0" w:line="227"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If the holder of Ordinary Shares is a Dutch Resident Individual, any income derived or deemed to be derived from the Ordinary Shares or any capital gains realized on the disposal or deemed disposal or exercise, as applicable, of the Ordinary Shares is subject to Dutch personal income tax at the progressive rates (with a maximum of 49.5% in 2026), if:</w:t>
      </w:r>
    </w:p>
    <w:p>
      <w:pPr>
        <w:spacing w:after="0" w:line="190" w:lineRule="exact"/>
        <w:rPr>
          <w:sz w:val="20"/>
          <w:szCs w:val="20"/>
          <w:color w:val="auto"/>
        </w:rPr>
      </w:pPr>
    </w:p>
    <w:p>
      <w:pPr>
        <w:jc w:val="both"/>
        <w:ind w:left="1040" w:hanging="330"/>
        <w:spacing w:after="0" w:line="250" w:lineRule="auto"/>
        <w:tabs>
          <w:tab w:leader="none" w:pos="1040" w:val="left"/>
        </w:tabs>
        <w:numPr>
          <w:ilvl w:val="0"/>
          <w:numId w:val="1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Ordinary Shares are attributable to an enterprise from which the holder of Ordinary Shares derives a share of the profit, whether as an entrepreneur (</w:t>
      </w:r>
      <w:r>
        <w:rPr>
          <w:rFonts w:ascii="Times New Roman" w:cs="Times New Roman" w:eastAsia="Times New Roman" w:hAnsi="Times New Roman"/>
          <w:sz w:val="18"/>
          <w:szCs w:val="18"/>
          <w:i w:val="1"/>
          <w:iCs w:val="1"/>
          <w:color w:val="131313"/>
        </w:rPr>
        <w:t>ondernemer</w:t>
      </w:r>
      <w:r>
        <w:rPr>
          <w:rFonts w:ascii="Times New Roman" w:cs="Times New Roman" w:eastAsia="Times New Roman" w:hAnsi="Times New Roman"/>
          <w:sz w:val="18"/>
          <w:szCs w:val="18"/>
          <w:color w:val="131313"/>
        </w:rPr>
        <w:t>) or as a person who has a co-entitlement to the net worth (</w:t>
      </w:r>
      <w:r>
        <w:rPr>
          <w:rFonts w:ascii="Times New Roman" w:cs="Times New Roman" w:eastAsia="Times New Roman" w:hAnsi="Times New Roman"/>
          <w:sz w:val="18"/>
          <w:szCs w:val="18"/>
          <w:i w:val="1"/>
          <w:iCs w:val="1"/>
          <w:color w:val="131313"/>
        </w:rPr>
        <w:t>medegerechtigd tot het vermogen</w:t>
      </w:r>
      <w:r>
        <w:rPr>
          <w:rFonts w:ascii="Times New Roman" w:cs="Times New Roman" w:eastAsia="Times New Roman" w:hAnsi="Times New Roman"/>
          <w:sz w:val="18"/>
          <w:szCs w:val="18"/>
          <w:color w:val="131313"/>
        </w:rPr>
        <w:t>) of such enterprise without being a shareholder (as defined in the Dutch Income Tax Act 2001);</w:t>
      </w:r>
    </w:p>
    <w:p>
      <w:pPr>
        <w:spacing w:after="0" w:line="190" w:lineRule="exact"/>
        <w:rPr>
          <w:rFonts w:ascii="Times New Roman" w:cs="Times New Roman" w:eastAsia="Times New Roman" w:hAnsi="Times New Roman"/>
          <w:sz w:val="18"/>
          <w:szCs w:val="18"/>
          <w:color w:val="131313"/>
        </w:rPr>
      </w:pPr>
    </w:p>
    <w:p>
      <w:pPr>
        <w:jc w:val="both"/>
        <w:ind w:left="1040" w:right="20" w:hanging="330"/>
        <w:spacing w:after="0" w:line="250" w:lineRule="auto"/>
        <w:tabs>
          <w:tab w:leader="none" w:pos="1040" w:val="left"/>
        </w:tabs>
        <w:numPr>
          <w:ilvl w:val="0"/>
          <w:numId w:val="1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holder of Ordinary Shares is considered to perform activities with respect to the Ordinary Shares that go beyond ordinary asset management (</w:t>
      </w:r>
      <w:r>
        <w:rPr>
          <w:rFonts w:ascii="Times New Roman" w:cs="Times New Roman" w:eastAsia="Times New Roman" w:hAnsi="Times New Roman"/>
          <w:sz w:val="18"/>
          <w:szCs w:val="18"/>
          <w:i w:val="1"/>
          <w:iCs w:val="1"/>
          <w:color w:val="131313"/>
        </w:rPr>
        <w:t>normaal, actief vermogensbeheer</w:t>
      </w:r>
      <w:r>
        <w:rPr>
          <w:rFonts w:ascii="Times New Roman" w:cs="Times New Roman" w:eastAsia="Times New Roman" w:hAnsi="Times New Roman"/>
          <w:sz w:val="18"/>
          <w:szCs w:val="18"/>
          <w:color w:val="131313"/>
        </w:rPr>
        <w:t>) or otherwise derives benefits from the Ordinary Shares that are taxable as benefits from miscellaneous activities (</w:t>
      </w:r>
      <w:r>
        <w:rPr>
          <w:rFonts w:ascii="Times New Roman" w:cs="Times New Roman" w:eastAsia="Times New Roman" w:hAnsi="Times New Roman"/>
          <w:sz w:val="18"/>
          <w:szCs w:val="18"/>
          <w:i w:val="1"/>
          <w:iCs w:val="1"/>
          <w:color w:val="131313"/>
        </w:rPr>
        <w:t>resultaat uit overige werkzaamheden</w:t>
      </w:r>
      <w:r>
        <w:rPr>
          <w:rFonts w:ascii="Times New Roman" w:cs="Times New Roman" w:eastAsia="Times New Roman" w:hAnsi="Times New Roman"/>
          <w:sz w:val="18"/>
          <w:szCs w:val="18"/>
          <w:color w:val="131313"/>
        </w:rPr>
        <w:t>).</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131313"/>
        </w:rPr>
        <w:t>Taxation of savings and investments</w:t>
      </w:r>
    </w:p>
    <w:p>
      <w:pPr>
        <w:spacing w:after="0" w:line="214"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If the above-mentioned conditions (i) and (ii) do not apply to the Dutch Resident Individual, the Ordinary Shares will be subject to an annual Dutch income tax under the regime for savings and investments (</w:t>
      </w:r>
      <w:r>
        <w:rPr>
          <w:rFonts w:ascii="Times New Roman" w:cs="Times New Roman" w:eastAsia="Times New Roman" w:hAnsi="Times New Roman"/>
          <w:sz w:val="18"/>
          <w:szCs w:val="18"/>
          <w:i w:val="1"/>
          <w:iCs w:val="1"/>
          <w:color w:val="131313"/>
        </w:rPr>
        <w:t>inkomen uit sparen en beleggen</w:t>
      </w:r>
      <w:r>
        <w:rPr>
          <w:rFonts w:ascii="Times New Roman" w:cs="Times New Roman" w:eastAsia="Times New Roman" w:hAnsi="Times New Roman"/>
          <w:sz w:val="18"/>
          <w:szCs w:val="18"/>
          <w:color w:val="131313"/>
        </w:rPr>
        <w:t>). Taxation only occurs insofar the Dutch Resident Individual's net investment assets for the year exceed a statutory threshold (</w:t>
      </w:r>
      <w:r>
        <w:rPr>
          <w:rFonts w:ascii="Times New Roman" w:cs="Times New Roman" w:eastAsia="Times New Roman" w:hAnsi="Times New Roman"/>
          <w:sz w:val="18"/>
          <w:szCs w:val="18"/>
          <w:i w:val="1"/>
          <w:iCs w:val="1"/>
          <w:color w:val="131313"/>
        </w:rPr>
        <w:t>heffingvrij vermogen</w:t>
      </w:r>
      <w:r>
        <w:rPr>
          <w:rFonts w:ascii="Times New Roman" w:cs="Times New Roman" w:eastAsia="Times New Roman" w:hAnsi="Times New Roman"/>
          <w:sz w:val="18"/>
          <w:szCs w:val="18"/>
          <w:color w:val="131313"/>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8"/>
          <w:szCs w:val="18"/>
          <w:i w:val="1"/>
          <w:iCs w:val="1"/>
          <w:color w:val="131313"/>
        </w:rPr>
        <w:t>peildatum</w:t>
      </w:r>
      <w:r>
        <w:rPr>
          <w:rFonts w:ascii="Times New Roman" w:cs="Times New Roman" w:eastAsia="Times New Roman" w:hAnsi="Times New Roman"/>
          <w:sz w:val="18"/>
          <w:szCs w:val="18"/>
          <w:color w:val="131313"/>
        </w:rPr>
        <w:t>). Actual income or capital gains realized in respect of the Ordinary Shares are in principle not subject to Dutch income tax.</w:t>
      </w:r>
    </w:p>
    <w:p>
      <w:pPr>
        <w:spacing w:after="0" w:line="195"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The Dutch Resident Individual's assets and liabilities taxed under this regime, including the Ordinary Shares, are allocated over the following three categories: (a) bank savings (</w:t>
      </w:r>
      <w:r>
        <w:rPr>
          <w:rFonts w:ascii="Times New Roman" w:cs="Times New Roman" w:eastAsia="Times New Roman" w:hAnsi="Times New Roman"/>
          <w:sz w:val="18"/>
          <w:szCs w:val="18"/>
          <w:i w:val="1"/>
          <w:iCs w:val="1"/>
          <w:color w:val="131313"/>
        </w:rPr>
        <w:t>banktegoeden</w:t>
      </w:r>
      <w:r>
        <w:rPr>
          <w:rFonts w:ascii="Times New Roman" w:cs="Times New Roman" w:eastAsia="Times New Roman" w:hAnsi="Times New Roman"/>
          <w:sz w:val="18"/>
          <w:szCs w:val="18"/>
          <w:color w:val="131313"/>
        </w:rPr>
        <w:t>), (b) other investments (</w:t>
      </w:r>
      <w:r>
        <w:rPr>
          <w:rFonts w:ascii="Times New Roman" w:cs="Times New Roman" w:eastAsia="Times New Roman" w:hAnsi="Times New Roman"/>
          <w:sz w:val="18"/>
          <w:szCs w:val="18"/>
          <w:i w:val="1"/>
          <w:iCs w:val="1"/>
          <w:color w:val="131313"/>
        </w:rPr>
        <w:t>overige bezittingen</w:t>
      </w:r>
      <w:r>
        <w:rPr>
          <w:rFonts w:ascii="Times New Roman" w:cs="Times New Roman" w:eastAsia="Times New Roman" w:hAnsi="Times New Roman"/>
          <w:sz w:val="18"/>
          <w:szCs w:val="18"/>
          <w:color w:val="131313"/>
        </w:rPr>
        <w:t>), including the Ordinary Shares, and (c) liabilities (</w:t>
      </w:r>
      <w:r>
        <w:rPr>
          <w:rFonts w:ascii="Times New Roman" w:cs="Times New Roman" w:eastAsia="Times New Roman" w:hAnsi="Times New Roman"/>
          <w:sz w:val="18"/>
          <w:szCs w:val="18"/>
          <w:i w:val="1"/>
          <w:iCs w:val="1"/>
          <w:color w:val="131313"/>
        </w:rPr>
        <w:t>schulden</w:t>
      </w:r>
      <w:r>
        <w:rPr>
          <w:rFonts w:ascii="Times New Roman" w:cs="Times New Roman" w:eastAsia="Times New Roman" w:hAnsi="Times New Roman"/>
          <w:sz w:val="18"/>
          <w:szCs w:val="18"/>
          <w:color w:val="131313"/>
        </w:rPr>
        <w:t>). The taxable benefit for the year (</w:t>
      </w:r>
      <w:r>
        <w:rPr>
          <w:rFonts w:ascii="Times New Roman" w:cs="Times New Roman" w:eastAsia="Times New Roman" w:hAnsi="Times New Roman"/>
          <w:sz w:val="18"/>
          <w:szCs w:val="18"/>
          <w:i w:val="1"/>
          <w:iCs w:val="1"/>
          <w:color w:val="131313"/>
        </w:rPr>
        <w:t>voordeel uit sparen en beleggen</w:t>
      </w:r>
      <w:r>
        <w:rPr>
          <w:rFonts w:ascii="Times New Roman" w:cs="Times New Roman" w:eastAsia="Times New Roman" w:hAnsi="Times New Roman"/>
          <w:sz w:val="18"/>
          <w:szCs w:val="18"/>
          <w:color w:val="131313"/>
        </w:rPr>
        <w:t>) is equal to the product of (x) the total deemed return divided by the sum of bank savings, other investments and liabilities and (y) the sum of bank savings, other investments and liabilities minus the statutory threshold, and is taxed at a flat rate of 36% (rate for 2026).</w:t>
      </w:r>
    </w:p>
    <w:p>
      <w:pPr>
        <w:spacing w:after="0" w:line="181"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The deemed return applicable to other investments, including the Ordinary Shares, is set at 6.00% for the calendar year 2026.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spacing w:after="0" w:line="189" w:lineRule="exact"/>
        <w:rPr>
          <w:sz w:val="20"/>
          <w:szCs w:val="20"/>
          <w:color w:val="auto"/>
        </w:rPr>
      </w:pPr>
    </w:p>
    <w:p>
      <w:pPr>
        <w:jc w:val="both"/>
        <w:ind w:firstLine="382"/>
        <w:spacing w:after="0" w:line="243" w:lineRule="auto"/>
        <w:rPr>
          <w:sz w:val="20"/>
          <w:szCs w:val="20"/>
          <w:color w:val="auto"/>
        </w:rPr>
      </w:pPr>
      <w:r>
        <w:rPr>
          <w:rFonts w:ascii="Times New Roman" w:cs="Times New Roman" w:eastAsia="Times New Roman" w:hAnsi="Times New Roman"/>
          <w:sz w:val="18"/>
          <w:szCs w:val="18"/>
          <w:color w:val="131313"/>
        </w:rPr>
        <w:t>On June 6 and 14, 2024, the Dutch Supreme Court (</w:t>
      </w:r>
      <w:r>
        <w:rPr>
          <w:rFonts w:ascii="Times New Roman" w:cs="Times New Roman" w:eastAsia="Times New Roman" w:hAnsi="Times New Roman"/>
          <w:sz w:val="18"/>
          <w:szCs w:val="18"/>
          <w:i w:val="1"/>
          <w:iCs w:val="1"/>
          <w:color w:val="131313"/>
        </w:rPr>
        <w:t>Hoge Raad</w:t>
      </w:r>
      <w:r>
        <w:rPr>
          <w:rFonts w:ascii="Times New Roman" w:cs="Times New Roman" w:eastAsia="Times New Roman" w:hAnsi="Times New Roman"/>
          <w:sz w:val="18"/>
          <w:szCs w:val="18"/>
          <w:color w:val="131313"/>
        </w:rPr>
        <w:t>) ruled that the Dutch income tax regime for savings and investments as described above (the “Box 3 Regime”) in certain specific circumstances contravenes with Section 1 of the First Protocol to the European Convention on Human Rights in combination with Section 14 of the European Convention on Human Rights (the “Rulings”). In the Rulings, the Dutch Supreme Court introduced a rebuttal provision (</w:t>
      </w:r>
      <w:r>
        <w:rPr>
          <w:rFonts w:ascii="Times New Roman" w:cs="Times New Roman" w:eastAsia="Times New Roman" w:hAnsi="Times New Roman"/>
          <w:sz w:val="18"/>
          <w:szCs w:val="18"/>
          <w:i w:val="1"/>
          <w:iCs w:val="1"/>
          <w:color w:val="131313"/>
        </w:rPr>
        <w:t>tegenbewijsregeling</w:t>
      </w:r>
      <w:r>
        <w:rPr>
          <w:rFonts w:ascii="Times New Roman" w:cs="Times New Roman" w:eastAsia="Times New Roman" w:hAnsi="Times New Roman"/>
          <w:sz w:val="18"/>
          <w:szCs w:val="18"/>
          <w:color w:val="131313"/>
        </w:rPr>
        <w:t>) pursuant to which taxpayers have the possibility to demonstrate that the actual return realized by the taxpayer in respect of their investments assets (as calculated in line with the rules as set out in the Rulings), is less than the deemed return realized by the taxpayer in respect of those assets (as calculated in accordance with the rules of the Box 3 Regime). The rebuttal provision introduced by the Dutch Supreme Court as well as the rules set out in the Rulings have been implemented in Dutch tax law pursuant to the Dutch Box 3 Rebuttal Scheme Act (</w:t>
      </w:r>
      <w:r>
        <w:rPr>
          <w:rFonts w:ascii="Times New Roman" w:cs="Times New Roman" w:eastAsia="Times New Roman" w:hAnsi="Times New Roman"/>
          <w:sz w:val="18"/>
          <w:szCs w:val="18"/>
          <w:i w:val="1"/>
          <w:iCs w:val="1"/>
          <w:color w:val="131313"/>
        </w:rPr>
        <w:t>Wet</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i w:val="1"/>
          <w:iCs w:val="1"/>
          <w:color w:val="131313"/>
        </w:rPr>
        <w:t>tegenbewijsregeling box 3</w:t>
      </w:r>
      <w:r>
        <w:rPr>
          <w:rFonts w:ascii="Times New Roman" w:cs="Times New Roman" w:eastAsia="Times New Roman" w:hAnsi="Times New Roman"/>
          <w:sz w:val="18"/>
          <w:szCs w:val="18"/>
          <w:color w:val="131313"/>
        </w:rPr>
        <w:t>). If the taxpayer successfully demonstrates that the actual return is less than the deemed return (using a standardized form), the</w:t>
      </w:r>
      <w:r>
        <w:rPr>
          <w:rFonts w:ascii="Times New Roman" w:cs="Times New Roman" w:eastAsia="Times New Roman" w:hAnsi="Times New Roman"/>
          <w:sz w:val="18"/>
          <w:szCs w:val="18"/>
          <w:i w:val="1"/>
          <w:iCs w:val="1"/>
          <w:color w:val="131313"/>
        </w:rPr>
        <w:t xml:space="preserve"> </w:t>
      </w:r>
      <w:r>
        <w:rPr>
          <w:rFonts w:ascii="Times New Roman" w:cs="Times New Roman" w:eastAsia="Times New Roman" w:hAnsi="Times New Roman"/>
          <w:sz w:val="18"/>
          <w:szCs w:val="18"/>
          <w:color w:val="131313"/>
        </w:rPr>
        <w:t>taxpayer will be taxed on the actual return instead of the deemed return. The Dutch Box 3 Rebuttal Scheme Act offers a temporary solution until a new Box 3 regime is introduced, which is expected as of 1 January 2028 at the earliest.</w:t>
      </w:r>
    </w:p>
    <w:p>
      <w:pPr>
        <w:spacing w:after="0" w:line="18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8"/>
          <w:szCs w:val="18"/>
          <w:color w:val="131313"/>
        </w:rPr>
        <w:t>Holders of Ordinary Shares are advised to consult their own tax advisor to ensure that the tax in respect of the Ordinary Shares is levied in accordance with the applicable Dutch tax rules at the relevant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i w:val="1"/>
          <w:iCs w:val="1"/>
          <w:color w:val="131313"/>
        </w:rPr>
        <w:t>Non-residents of The Netherlands</w:t>
      </w:r>
    </w:p>
    <w:p>
      <w:pPr>
        <w:spacing w:after="0" w:line="227"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A holder of Ordinary Shares that is neither a Dutch Resident Entity nor a Dutch Resident Individual will not be subject to Dutch income tax in respect of income derived or deemed to be derived from the Ordinary Shares or in respect of capital gains realized on the disposal or deemed disposal or exercise, as applicable of the Ordinary Shares, provided that:</w:t>
      </w:r>
    </w:p>
    <w:p>
      <w:pPr>
        <w:spacing w:after="0" w:line="190" w:lineRule="exact"/>
        <w:rPr>
          <w:sz w:val="20"/>
          <w:szCs w:val="20"/>
          <w:color w:val="auto"/>
        </w:rPr>
      </w:pPr>
    </w:p>
    <w:p>
      <w:pPr>
        <w:jc w:val="both"/>
        <w:ind w:left="1040" w:hanging="330"/>
        <w:spacing w:after="0" w:line="250" w:lineRule="auto"/>
        <w:tabs>
          <w:tab w:leader="none" w:pos="1040" w:val="left"/>
        </w:tabs>
        <w:numPr>
          <w:ilvl w:val="0"/>
          <w:numId w:val="1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77" w:lineRule="exact"/>
        <w:rPr>
          <w:rFonts w:ascii="Times New Roman" w:cs="Times New Roman" w:eastAsia="Times New Roman" w:hAnsi="Times New Roman"/>
          <w:sz w:val="18"/>
          <w:szCs w:val="18"/>
          <w:color w:val="131313"/>
        </w:rPr>
      </w:pPr>
    </w:p>
    <w:p>
      <w:pPr>
        <w:jc w:val="both"/>
        <w:ind w:left="1040" w:hanging="330"/>
        <w:spacing w:after="0" w:line="250" w:lineRule="auto"/>
        <w:tabs>
          <w:tab w:leader="none" w:pos="1040" w:val="left"/>
        </w:tabs>
        <w:numPr>
          <w:ilvl w:val="0"/>
          <w:numId w:val="15"/>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131313"/>
        </w:rPr>
        <w:t>Gift and inheritance taxes</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131313"/>
        </w:rPr>
        <w:t>Residents of The Netherlands</w:t>
      </w:r>
    </w:p>
    <w:p>
      <w:pPr>
        <w:spacing w:after="0" w:line="214" w:lineRule="exact"/>
        <w:rPr>
          <w:sz w:val="20"/>
          <w:szCs w:val="20"/>
          <w:color w:val="auto"/>
        </w:rPr>
      </w:pPr>
    </w:p>
    <w:p>
      <w:pPr>
        <w:ind w:firstLine="382"/>
        <w:spacing w:after="0" w:line="282" w:lineRule="auto"/>
        <w:rPr>
          <w:sz w:val="20"/>
          <w:szCs w:val="20"/>
          <w:color w:val="auto"/>
        </w:rPr>
      </w:pPr>
      <w:r>
        <w:rPr>
          <w:rFonts w:ascii="Times New Roman" w:cs="Times New Roman" w:eastAsia="Times New Roman" w:hAnsi="Times New Roman"/>
          <w:sz w:val="18"/>
          <w:szCs w:val="18"/>
          <w:color w:val="131313"/>
        </w:rPr>
        <w:t>Gift or inheritance taxes will arise in The Netherlands with respect to a transfer of Ordinary Shares by way of a gift by, or on the death of, a holder of Ordinary Shares who is resident or deemed resident of The Netherlands at the time of the gift or such holder's death.</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131313"/>
        </w:rPr>
        <w:t>Non-residents of The Netherlands</w:t>
      </w:r>
    </w:p>
    <w:p>
      <w:pPr>
        <w:spacing w:after="0" w:line="214"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131313"/>
        </w:rPr>
        <w:t>No gift or inheritance taxes will arise in The Netherlands with respect to a transfer of Ordinary Shares by way of a gift by, or on the death of, a holder of Ordinary Shares who is neither resident nor deemed to be resident of The Netherlands, unless:</w:t>
      </w:r>
    </w:p>
    <w:p>
      <w:pPr>
        <w:spacing w:after="0" w:line="148" w:lineRule="exact"/>
        <w:rPr>
          <w:sz w:val="20"/>
          <w:szCs w:val="20"/>
          <w:color w:val="auto"/>
        </w:rPr>
      </w:pPr>
    </w:p>
    <w:p>
      <w:pPr>
        <w:jc w:val="both"/>
        <w:ind w:left="1040" w:hanging="330"/>
        <w:spacing w:after="0" w:line="258" w:lineRule="auto"/>
        <w:tabs>
          <w:tab w:leader="none" w:pos="1040" w:val="left"/>
        </w:tabs>
        <w:numPr>
          <w:ilvl w:val="0"/>
          <w:numId w:val="16"/>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in the case of a gift of an Ordinary Share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169" w:lineRule="exact"/>
        <w:rPr>
          <w:rFonts w:ascii="Times New Roman" w:cs="Times New Roman" w:eastAsia="Times New Roman" w:hAnsi="Times New Roman"/>
          <w:sz w:val="18"/>
          <w:szCs w:val="18"/>
          <w:color w:val="131313"/>
        </w:rPr>
      </w:pPr>
    </w:p>
    <w:p>
      <w:pPr>
        <w:ind w:left="1040" w:right="20" w:hanging="330"/>
        <w:spacing w:after="0" w:line="266" w:lineRule="auto"/>
        <w:tabs>
          <w:tab w:leader="none" w:pos="1040" w:val="left"/>
        </w:tabs>
        <w:numPr>
          <w:ilvl w:val="0"/>
          <w:numId w:val="16"/>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in the case of a gift of an Ordinary Share is made under a condition precedent, the holder of Ordinary Shares is resident or is deemed to be resident of The Netherlands at the time the condition is fulfilled; or</w:t>
      </w:r>
    </w:p>
    <w:p>
      <w:pPr>
        <w:spacing w:after="0" w:line="175" w:lineRule="exact"/>
        <w:rPr>
          <w:rFonts w:ascii="Times New Roman" w:cs="Times New Roman" w:eastAsia="Times New Roman" w:hAnsi="Times New Roman"/>
          <w:sz w:val="18"/>
          <w:szCs w:val="18"/>
          <w:color w:val="131313"/>
        </w:rPr>
      </w:pPr>
    </w:p>
    <w:p>
      <w:pPr>
        <w:ind w:left="1040" w:right="20" w:hanging="330"/>
        <w:spacing w:after="0" w:line="266" w:lineRule="auto"/>
        <w:tabs>
          <w:tab w:leader="none" w:pos="1040" w:val="left"/>
        </w:tabs>
        <w:numPr>
          <w:ilvl w:val="0"/>
          <w:numId w:val="16"/>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transfer is otherwise construed as a gift or inheritance made by, or on behalf of, a person who, at the time of the gift or death, is or is deemed to be resident of The Netherlands.</w:t>
      </w:r>
    </w:p>
    <w:p>
      <w:pPr>
        <w:spacing w:after="0" w:line="176"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For purposes of Dutch gift and inheritance taxes, amongst others, a person that holds the Dutch nationality will be deemed to be resident of The Netherlands if such person has been a resident of The Netherlands at any time during the ten years preceding the date of the gift or such person’s death. Additionally, for purposes of Dutch gift tax, amongst others, a person not holding the Dutch nationality will be deemed to be resident of The Netherlands if such person has been a resident of The Netherlands at any time during the twelve months preceding the date of the gift. Applicable tax treaties may override deemed residency.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b w:val="1"/>
          <w:bCs w:val="1"/>
          <w:color w:val="131313"/>
        </w:rPr>
        <w:t>Value added tax (“VAT”)</w:t>
      </w:r>
    </w:p>
    <w:p>
      <w:pPr>
        <w:spacing w:after="0" w:line="229"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131313"/>
        </w:rPr>
        <w:t>No Dutch VAT will be payable by a holder of Ordinary Shares in respect of any payment in consideration for the holding or disposal or exercise, as applicable of the Ordinary Shares.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131313"/>
        </w:rPr>
        <w:t>Real Property Transfer Tax</w:t>
      </w:r>
    </w:p>
    <w:p>
      <w:pPr>
        <w:spacing w:after="0" w:line="227" w:lineRule="exact"/>
        <w:rPr>
          <w:sz w:val="20"/>
          <w:szCs w:val="20"/>
          <w:color w:val="auto"/>
        </w:rPr>
      </w:pPr>
    </w:p>
    <w:p>
      <w:pPr>
        <w:ind w:firstLine="382"/>
        <w:spacing w:after="0" w:line="268" w:lineRule="auto"/>
        <w:rPr>
          <w:sz w:val="20"/>
          <w:szCs w:val="20"/>
          <w:color w:val="auto"/>
        </w:rPr>
      </w:pPr>
      <w:r>
        <w:rPr>
          <w:rFonts w:ascii="Times New Roman" w:cs="Times New Roman" w:eastAsia="Times New Roman" w:hAnsi="Times New Roman"/>
          <w:sz w:val="18"/>
          <w:szCs w:val="18"/>
          <w:color w:val="131313"/>
        </w:rPr>
        <w:t>Under circumstances, the Ordinary Shares could, for the purposes of Dutch real property transfer tax (</w:t>
      </w:r>
      <w:r>
        <w:rPr>
          <w:rFonts w:ascii="Times New Roman" w:cs="Times New Roman" w:eastAsia="Times New Roman" w:hAnsi="Times New Roman"/>
          <w:sz w:val="18"/>
          <w:szCs w:val="18"/>
          <w:i w:val="1"/>
          <w:iCs w:val="1"/>
          <w:color w:val="131313"/>
        </w:rPr>
        <w:t>overdrachtsbelasting</w:t>
      </w:r>
      <w:r>
        <w:rPr>
          <w:rFonts w:ascii="Times New Roman" w:cs="Times New Roman" w:eastAsia="Times New Roman" w:hAnsi="Times New Roman"/>
          <w:sz w:val="18"/>
          <w:szCs w:val="18"/>
          <w:color w:val="131313"/>
        </w:rPr>
        <w:t>), be treated as real property (</w:t>
      </w:r>
      <w:r>
        <w:rPr>
          <w:rFonts w:ascii="Times New Roman" w:cs="Times New Roman" w:eastAsia="Times New Roman" w:hAnsi="Times New Roman"/>
          <w:sz w:val="18"/>
          <w:szCs w:val="18"/>
          <w:i w:val="1"/>
          <w:iCs w:val="1"/>
          <w:color w:val="131313"/>
        </w:rPr>
        <w:t>fictieve onroerende zaken</w:t>
      </w:r>
      <w:r>
        <w:rPr>
          <w:rFonts w:ascii="Times New Roman" w:cs="Times New Roman" w:eastAsia="Times New Roman" w:hAnsi="Times New Roman"/>
          <w:sz w:val="18"/>
          <w:szCs w:val="18"/>
          <w:color w:val="131313"/>
        </w:rPr>
        <w:t>) located in The Netherlands, in which case this tax could be payable upon acquisition of Ordinary Shares.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The Ordinary Shares will generally not be treated as real property if at the time of, or at any time during the year preceding, the acquisition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31313"/>
        </w:rPr>
        <w:t>Ordinary Shares:</w:t>
      </w:r>
    </w:p>
    <w:p>
      <w:pPr>
        <w:spacing w:after="0" w:line="193" w:lineRule="exact"/>
        <w:rPr>
          <w:sz w:val="20"/>
          <w:szCs w:val="20"/>
          <w:color w:val="auto"/>
        </w:rPr>
      </w:pPr>
    </w:p>
    <w:p>
      <w:pPr>
        <w:ind w:left="1040" w:hanging="330"/>
        <w:spacing w:after="0"/>
        <w:tabs>
          <w:tab w:leader="none" w:pos="1040" w:val="left"/>
        </w:tabs>
        <w:numPr>
          <w:ilvl w:val="0"/>
          <w:numId w:val="17"/>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our assets do not and did not include real property situated in The Netherlands; or</w:t>
      </w:r>
    </w:p>
    <w:p>
      <w:pPr>
        <w:spacing w:after="0" w:line="211" w:lineRule="exact"/>
        <w:rPr>
          <w:rFonts w:ascii="Times New Roman" w:cs="Times New Roman" w:eastAsia="Times New Roman" w:hAnsi="Times New Roman"/>
          <w:sz w:val="18"/>
          <w:szCs w:val="18"/>
          <w:color w:val="131313"/>
        </w:rPr>
      </w:pPr>
    </w:p>
    <w:p>
      <w:pPr>
        <w:ind w:left="1040" w:hanging="330"/>
        <w:spacing w:after="0" w:line="266" w:lineRule="auto"/>
        <w:tabs>
          <w:tab w:leader="none" w:pos="1040" w:val="left"/>
        </w:tabs>
        <w:numPr>
          <w:ilvl w:val="0"/>
          <w:numId w:val="17"/>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our assets only include and included real property, situated either in or outside The Netherlands, that STM does not and did not hold, and currently do not intend to hold, predominantly as a financial investment.</w:t>
      </w:r>
    </w:p>
    <w:p>
      <w:pPr>
        <w:spacing w:after="0" w:line="17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8"/>
          <w:szCs w:val="18"/>
          <w:color w:val="131313"/>
        </w:rPr>
        <w:t>Real property as referred to under (i) and (ii) above includes legal ownership and more limited legal rights over the property (rights in rem) (</w:t>
      </w:r>
      <w:r>
        <w:rPr>
          <w:rFonts w:ascii="Times New Roman" w:cs="Times New Roman" w:eastAsia="Times New Roman" w:hAnsi="Times New Roman"/>
          <w:sz w:val="18"/>
          <w:szCs w:val="18"/>
          <w:i w:val="1"/>
          <w:iCs w:val="1"/>
          <w:color w:val="131313"/>
        </w:rPr>
        <w:t>zakelijke</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i w:val="1"/>
          <w:iCs w:val="1"/>
          <w:color w:val="131313"/>
        </w:rPr>
        <w:t>rechten</w:t>
      </w:r>
      <w:r>
        <w:rPr>
          <w:rFonts w:ascii="Times New Roman" w:cs="Times New Roman" w:eastAsia="Times New Roman" w:hAnsi="Times New Roman"/>
          <w:sz w:val="18"/>
          <w:szCs w:val="18"/>
          <w:color w:val="131313"/>
        </w:rPr>
        <w:t>) as well as contractual rights that give STM economic exposure to the value of such real property, and certain participations or interests in entities</w:t>
      </w:r>
      <w:r>
        <w:rPr>
          <w:rFonts w:ascii="Times New Roman" w:cs="Times New Roman" w:eastAsia="Times New Roman" w:hAnsi="Times New Roman"/>
          <w:sz w:val="18"/>
          <w:szCs w:val="18"/>
          <w:i w:val="1"/>
          <w:iCs w:val="1"/>
          <w:color w:val="131313"/>
        </w:rPr>
        <w:t xml:space="preserve"> </w:t>
      </w:r>
      <w:r>
        <w:rPr>
          <w:rFonts w:ascii="Times New Roman" w:cs="Times New Roman" w:eastAsia="Times New Roman" w:hAnsi="Times New Roman"/>
          <w:sz w:val="18"/>
          <w:szCs w:val="18"/>
          <w:color w:val="131313"/>
        </w:rPr>
        <w:t>that are treated as real property.</w:t>
      </w:r>
    </w:p>
    <w:p>
      <w:pPr>
        <w:spacing w:after="0" w:line="16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31313"/>
        </w:rPr>
        <w:t>Whilst our assets include and have included real property as described elsewhere in this prospectus, these properties are and have been exclusively used for our operational business activities, and we did not hold, and currently do not intend to hold, any interest in real property as a financial investment. Our assets do not include and have not included real property situated in The Netherlands as described above.</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31313"/>
        </w:rPr>
        <w:t>Consequently, no Dutch real property transfer tax becomes payable upon an acquisition of the Ordinary Shares.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131313"/>
        </w:rPr>
        <w:t>Stamp Duties</w:t>
      </w:r>
    </w:p>
    <w:p>
      <w:pPr>
        <w:spacing w:after="0" w:line="229"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131313"/>
        </w:rPr>
        <w:t>No Dutch documentation taxes (commonly referred to as stamp duties) will be payable by a holder of Ordinary Shares in respect of any payment in consideration for the holding or disposal or exercise, as applicable, of the Ordinary Shares.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PLAN OF DISTRIBUTION</w:t>
      </w:r>
    </w:p>
    <w:p>
      <w:pPr>
        <w:spacing w:after="0" w:line="229"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131313"/>
        </w:rPr>
        <w:t>We are registering the offer and resale by the Selling Securityholder of 24,755,584 Ordinary Shares of STM that may be issued upon the exercise of the Warrants at an exercise price of $28.38 per share, subject to adjustments.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and Resale by Selling Securityholder</w:t>
      </w:r>
    </w:p>
    <w:p>
      <w:pPr>
        <w:spacing w:after="0" w:line="216" w:lineRule="exact"/>
        <w:rPr>
          <w:sz w:val="20"/>
          <w:szCs w:val="20"/>
          <w:color w:val="auto"/>
        </w:rPr>
      </w:pPr>
    </w:p>
    <w:p>
      <w:pPr>
        <w:jc w:val="both"/>
        <w:ind w:firstLine="326"/>
        <w:spacing w:after="0"/>
        <w:rPr>
          <w:sz w:val="20"/>
          <w:szCs w:val="20"/>
          <w:color w:val="auto"/>
        </w:rPr>
      </w:pPr>
      <w:r>
        <w:rPr>
          <w:rFonts w:ascii="Times New Roman" w:cs="Times New Roman" w:eastAsia="Times New Roman" w:hAnsi="Times New Roman"/>
          <w:sz w:val="18"/>
          <w:szCs w:val="18"/>
          <w:color w:val="131313"/>
        </w:rPr>
        <w:t>The Selling Securityholder will pay any underwriting discounts and commissions and any transfer taxes and expenses incurred by the Selling Securityholder in connection with the sale of its Ordinary Shares further to any registration. We will bear all other costs, fees and expenses incurred in effecting the registration of the securities covered by this prospectus, including, without limitation, all registration and filing fees, NYSE listing fees and fees and expenses of our counsel and our independent registered public accountants.</w:t>
      </w:r>
    </w:p>
    <w:p>
      <w:pPr>
        <w:spacing w:after="0" w:line="185" w:lineRule="exact"/>
        <w:rPr>
          <w:sz w:val="20"/>
          <w:szCs w:val="20"/>
          <w:color w:val="auto"/>
        </w:rPr>
      </w:pPr>
    </w:p>
    <w:p>
      <w:pPr>
        <w:jc w:val="both"/>
        <w:ind w:firstLine="328"/>
        <w:spacing w:after="0" w:line="232" w:lineRule="auto"/>
        <w:rPr>
          <w:sz w:val="20"/>
          <w:szCs w:val="20"/>
          <w:color w:val="auto"/>
        </w:rPr>
      </w:pPr>
      <w:r>
        <w:rPr>
          <w:rFonts w:ascii="Times New Roman" w:cs="Times New Roman" w:eastAsia="Times New Roman" w:hAnsi="Times New Roman"/>
          <w:sz w:val="18"/>
          <w:szCs w:val="18"/>
          <w:color w:val="131313"/>
        </w:rPr>
        <w:t>The securities beneficially owned by the Selling Securityholder covered by this prospectus may be offered and sold from time to time by the Selling Securityholder. The term "Selling Securityholder" includes donees, pledgees, transferees or other successors in interest selling securities received after the date of this prospectus from a Selling Securityholder as a gift</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31313"/>
        </w:rPr>
        <w:t xml:space="preserve"> pledge, partnership distribution or other transfer. The Selling Securityholder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31313"/>
        </w:rPr>
        <w:t xml:space="preserve">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0" w:lineRule="exact"/>
        <w:rPr>
          <w:sz w:val="20"/>
          <w:szCs w:val="20"/>
          <w:color w:val="auto"/>
        </w:rPr>
      </w:pPr>
    </w:p>
    <w:p>
      <w:pPr>
        <w:jc w:val="both"/>
        <w:ind w:firstLine="326"/>
        <w:spacing w:after="0" w:line="266" w:lineRule="auto"/>
        <w:rPr>
          <w:sz w:val="20"/>
          <w:szCs w:val="20"/>
          <w:color w:val="auto"/>
        </w:rPr>
      </w:pPr>
      <w:r>
        <w:rPr>
          <w:rFonts w:ascii="Times New Roman" w:cs="Times New Roman" w:eastAsia="Times New Roman" w:hAnsi="Times New Roman"/>
          <w:sz w:val="18"/>
          <w:szCs w:val="18"/>
          <w:color w:val="131313"/>
        </w:rPr>
        <w:t>Subject to the limitations set forth in any applicable registration rights agreement, the Selling Securityholder may use any one or more of the following methods when selling the securities offered by this prospectus:</w:t>
      </w:r>
    </w:p>
    <w:p>
      <w:pPr>
        <w:spacing w:after="0" w:line="176"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131313"/>
        </w:rPr>
      </w:pPr>
    </w:p>
    <w:p>
      <w:pPr>
        <w:ind w:left="1000" w:hanging="493"/>
        <w:spacing w:after="0" w:line="282" w:lineRule="auto"/>
        <w:tabs>
          <w:tab w:leader="none" w:pos="1000" w:val="left"/>
        </w:tabs>
        <w:numPr>
          <w:ilvl w:val="0"/>
          <w:numId w:val="18"/>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an over-the-counter distribution in accordance with the rules of the NYSE;</w:t>
      </w:r>
    </w:p>
    <w:p>
      <w:pPr>
        <w:spacing w:after="0" w:line="225" w:lineRule="exact"/>
        <w:rPr>
          <w:rFonts w:ascii="Times New Roman" w:cs="Times New Roman" w:eastAsia="Times New Roman" w:hAnsi="Times New Roman"/>
          <w:sz w:val="18"/>
          <w:szCs w:val="18"/>
          <w:color w:val="131313"/>
        </w:rPr>
      </w:pPr>
    </w:p>
    <w:p>
      <w:pPr>
        <w:jc w:val="both"/>
        <w:ind w:left="1000" w:hanging="493"/>
        <w:spacing w:after="0" w:line="266" w:lineRule="auto"/>
        <w:tabs>
          <w:tab w:leader="none" w:pos="1000" w:val="left"/>
        </w:tabs>
        <w:numPr>
          <w:ilvl w:val="0"/>
          <w:numId w:val="18"/>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through trading plans entered into by a Selling Securityholder pursuant to Rule 10b5-l under the Exchange Act that are in place at the time of an offering pursuant to this prospectus and any applicable prospectus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through one or more underwritten offerings on a firm commitment or best efforts basis;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1" w:name="page32"/>
    <w:bookmarkEnd w:id="31"/>
    <w:p>
      <w:pPr>
        <w:ind w:left="1000" w:hanging="493"/>
        <w:spacing w:after="0"/>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settlement of short sales entered into after the date of this prospectus;</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131313"/>
        </w:rPr>
      </w:pPr>
    </w:p>
    <w:p>
      <w:pPr>
        <w:jc w:val="both"/>
        <w:ind w:left="1000" w:hanging="493"/>
        <w:spacing w:after="0" w:line="266" w:lineRule="auto"/>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w:t>
      </w:r>
    </w:p>
    <w:p>
      <w:pPr>
        <w:spacing w:after="0" w:line="17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on an exchange or other similar offerings through sales agents;</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through a combination of any of the above methods of sale; or</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any other method permitted pursuant to applicable law.</w:t>
      </w:r>
    </w:p>
    <w:p>
      <w:pPr>
        <w:spacing w:after="0" w:line="212" w:lineRule="exact"/>
        <w:rPr>
          <w:sz w:val="20"/>
          <w:szCs w:val="20"/>
          <w:color w:val="auto"/>
        </w:rPr>
      </w:pPr>
    </w:p>
    <w:p>
      <w:pPr>
        <w:jc w:val="both"/>
        <w:ind w:firstLine="325"/>
        <w:spacing w:after="0"/>
        <w:rPr>
          <w:sz w:val="20"/>
          <w:szCs w:val="20"/>
          <w:color w:val="auto"/>
        </w:rPr>
      </w:pPr>
      <w:r>
        <w:rPr>
          <w:rFonts w:ascii="Times New Roman" w:cs="Times New Roman" w:eastAsia="Times New Roman" w:hAnsi="Times New Roman"/>
          <w:sz w:val="18"/>
          <w:szCs w:val="18"/>
          <w:color w:val="131313"/>
        </w:rPr>
        <w:t>There can be no assurance that the Selling Securityholder will sell all or any of the securities offered by this prospectus. In addition</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the Selling Securityholder may also sell securities under Rule 144 </w:t>
      </w:r>
      <w:r>
        <w:rPr>
          <w:rFonts w:ascii="Times New Roman" w:cs="Times New Roman" w:eastAsia="Times New Roman" w:hAnsi="Times New Roman"/>
          <w:sz w:val="18"/>
          <w:szCs w:val="18"/>
          <w:color w:val="030303"/>
        </w:rPr>
        <w:t>under</w:t>
      </w:r>
      <w:r>
        <w:rPr>
          <w:rFonts w:ascii="Times New Roman" w:cs="Times New Roman" w:eastAsia="Times New Roman" w:hAnsi="Times New Roman"/>
          <w:sz w:val="18"/>
          <w:szCs w:val="18"/>
          <w:color w:val="131313"/>
        </w:rPr>
        <w:t xml:space="preserve"> the Securities Act, if available, or in other transactions exempt from registration, rather than under this prospectus</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The Selling Securityholder have the sole and absolute discretion not to accept any purchase offer or make any sale of securities if they deem the purchase price to be unsatisfactory at any particular time.</w:t>
      </w:r>
    </w:p>
    <w:p>
      <w:pPr>
        <w:spacing w:after="0" w:line="185" w:lineRule="exact"/>
        <w:rPr>
          <w:sz w:val="20"/>
          <w:szCs w:val="20"/>
          <w:color w:val="auto"/>
        </w:rPr>
      </w:pPr>
    </w:p>
    <w:p>
      <w:pPr>
        <w:jc w:val="both"/>
        <w:ind w:firstLine="328"/>
        <w:spacing w:after="0"/>
        <w:rPr>
          <w:sz w:val="20"/>
          <w:szCs w:val="20"/>
          <w:color w:val="auto"/>
        </w:rPr>
      </w:pPr>
      <w:r>
        <w:rPr>
          <w:rFonts w:ascii="Times New Roman" w:cs="Times New Roman" w:eastAsia="Times New Roman" w:hAnsi="Times New Roman"/>
          <w:sz w:val="18"/>
          <w:szCs w:val="18"/>
          <w:color w:val="131313"/>
        </w:rPr>
        <w:t xml:space="preserve">The Selling Securityholder also may transfer the securities in other circumstances, in which case the transferees, pledgees or other successors-in-interest will be the selling beneficial owners for purposes of this prospectus. Upon being </w:t>
      </w:r>
      <w:r>
        <w:rPr>
          <w:rFonts w:ascii="Times New Roman" w:cs="Times New Roman" w:eastAsia="Times New Roman" w:hAnsi="Times New Roman"/>
          <w:sz w:val="18"/>
          <w:szCs w:val="18"/>
          <w:color w:val="030303"/>
        </w:rPr>
        <w:t>notified by</w:t>
      </w:r>
      <w:r>
        <w:rPr>
          <w:rFonts w:ascii="Times New Roman" w:cs="Times New Roman" w:eastAsia="Times New Roman" w:hAnsi="Times New Roman"/>
          <w:sz w:val="18"/>
          <w:szCs w:val="18"/>
          <w:color w:val="131313"/>
        </w:rPr>
        <w:t xml:space="preserve"> a Selling Securityholder that a donee, pledgee, transferee, other successor- in-interest intends to sell our securities, we will, to the extent required, promptly file a supplement to this prospectus to name specifically such person as a selling securityholder.</w:t>
      </w:r>
    </w:p>
    <w:p>
      <w:pPr>
        <w:spacing w:after="0" w:line="171"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131313"/>
        </w:rPr>
        <w:t>With respect to a particular offering of the securities held by the Selling Securityholder, to the extent required, an accompanying prospectus supplement or, if appropriate, a post-effective amendment to the registration statement of which this prospectus is part, will be prepared and will set forth the following information:</w:t>
      </w:r>
    </w:p>
    <w:p>
      <w:pPr>
        <w:spacing w:after="0" w:line="177"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specific securities to be offered and sold;</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name of the Selling Securityholder;</w:t>
      </w:r>
    </w:p>
    <w:p>
      <w:pPr>
        <w:spacing w:after="0" w:line="225" w:lineRule="exact"/>
        <w:rPr>
          <w:rFonts w:ascii="Times New Roman" w:cs="Times New Roman" w:eastAsia="Times New Roman" w:hAnsi="Times New Roman"/>
          <w:sz w:val="18"/>
          <w:szCs w:val="18"/>
          <w:color w:val="131313"/>
        </w:rPr>
      </w:pPr>
    </w:p>
    <w:p>
      <w:pPr>
        <w:ind w:left="1000" w:hanging="493"/>
        <w:spacing w:after="0" w:line="282" w:lineRule="auto"/>
        <w:tabs>
          <w:tab w:leader="none" w:pos="1000" w:val="left"/>
        </w:tabs>
        <w:numPr>
          <w:ilvl w:val="0"/>
          <w:numId w:val="2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respective purchase prices and public offering prices, the proceeds to be received from the sale, if any, and other material terms of the offering;</w:t>
      </w:r>
    </w:p>
    <w:p>
      <w:pPr>
        <w:spacing w:after="0" w:line="161"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settlement of short sales entered into after the date of this prospectus;</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the names of any participating agents, broker-dealers or underwriters; and</w:t>
      </w:r>
    </w:p>
    <w:p>
      <w:pPr>
        <w:spacing w:after="0" w:line="225" w:lineRule="exact"/>
        <w:rPr>
          <w:rFonts w:ascii="Times New Roman" w:cs="Times New Roman" w:eastAsia="Times New Roman" w:hAnsi="Times New Roman"/>
          <w:sz w:val="18"/>
          <w:szCs w:val="18"/>
          <w:color w:val="131313"/>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any applicable commissions, discounts, concessions and other items constituting compensation from the Selling Securityholder.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jc w:val="both"/>
        <w:ind w:firstLine="324"/>
        <w:spacing w:after="0" w:line="235" w:lineRule="auto"/>
        <w:rPr>
          <w:sz w:val="20"/>
          <w:szCs w:val="20"/>
          <w:color w:val="auto"/>
        </w:rPr>
      </w:pPr>
      <w:r>
        <w:rPr>
          <w:rFonts w:ascii="Times New Roman" w:cs="Times New Roman" w:eastAsia="Times New Roman" w:hAnsi="Times New Roman"/>
          <w:sz w:val="18"/>
          <w:szCs w:val="18"/>
          <w:color w:val="131313"/>
        </w:rPr>
        <w:t>In connection with distributions of the securities or otherwise, the Selling Securityholder may enter into hedging transactions with broker-dealers or other financial institutions</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In connection with such transactions</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broker-dealers or other financial institutions may engage in short sales of the securities in the course of hedging the positions they assume with Selling Securityholder</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The Selling Securityholder may also sell the securities short and redeliver the securities to close out such short positions</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The Selling Securityholder may also enter into option or other transactions with broker-dealers or other financial institutions which require the delivery to such broker-dealer or other financial institution of securities offered by this prospectus</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which securities such broker-dealer or other financial institution may resell pursuant to this prospectus (as supplemented or amended to reflect such transaction)</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The Selling Securityholder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4"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131313"/>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to cover overallotments or to stabilize the price of our securities, the underwriters or agents, as the case may be, may bid for, and purchase, such securities in the open market. Finally, in any offering of securities through a syndicate of underwriters</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w:t>
      </w:r>
      <w:r>
        <w:rPr>
          <w:rFonts w:ascii="Times New Roman" w:cs="Times New Roman" w:eastAsia="Times New Roman" w:hAnsi="Times New Roman"/>
          <w:sz w:val="18"/>
          <w:szCs w:val="18"/>
          <w:color w:val="363434"/>
        </w:rPr>
        <w:t>e</w:t>
      </w:r>
      <w:r>
        <w:rPr>
          <w:rFonts w:ascii="Times New Roman" w:cs="Times New Roman" w:eastAsia="Times New Roman" w:hAnsi="Times New Roman"/>
          <w:sz w:val="18"/>
          <w:szCs w:val="18"/>
          <w:color w:val="131313"/>
        </w:rPr>
        <w:t>n</w:t>
      </w:r>
      <w:r>
        <w:rPr>
          <w:rFonts w:ascii="Times New Roman" w:cs="Times New Roman" w:eastAsia="Times New Roman" w:hAnsi="Times New Roman"/>
          <w:sz w:val="18"/>
          <w:szCs w:val="18"/>
          <w:color w:val="363434"/>
        </w:rPr>
        <w:t>gage i</w:t>
      </w:r>
      <w:r>
        <w:rPr>
          <w:rFonts w:ascii="Times New Roman" w:cs="Times New Roman" w:eastAsia="Times New Roman" w:hAnsi="Times New Roman"/>
          <w:sz w:val="18"/>
          <w:szCs w:val="18"/>
          <w:color w:val="131313"/>
        </w:rPr>
        <w:t xml:space="preserve">n </w:t>
      </w:r>
      <w:r>
        <w:rPr>
          <w:rFonts w:ascii="Times New Roman" w:cs="Times New Roman" w:eastAsia="Times New Roman" w:hAnsi="Times New Roman"/>
          <w:sz w:val="18"/>
          <w:szCs w:val="18"/>
          <w:color w:val="363434"/>
        </w:rPr>
        <w:t>t</w:t>
      </w:r>
      <w:r>
        <w:rPr>
          <w:rFonts w:ascii="Times New Roman" w:cs="Times New Roman" w:eastAsia="Times New Roman" w:hAnsi="Times New Roman"/>
          <w:sz w:val="18"/>
          <w:szCs w:val="18"/>
          <w:color w:val="131313"/>
        </w:rPr>
        <w:t>h</w:t>
      </w:r>
      <w:r>
        <w:rPr>
          <w:rFonts w:ascii="Times New Roman" w:cs="Times New Roman" w:eastAsia="Times New Roman" w:hAnsi="Times New Roman"/>
          <w:sz w:val="18"/>
          <w:szCs w:val="18"/>
          <w:color w:val="363434"/>
        </w:rPr>
        <w:t>ese act</w:t>
      </w:r>
      <w:r>
        <w:rPr>
          <w:rFonts w:ascii="Times New Roman" w:cs="Times New Roman" w:eastAsia="Times New Roman" w:hAnsi="Times New Roman"/>
          <w:sz w:val="18"/>
          <w:szCs w:val="18"/>
          <w:color w:val="131313"/>
        </w:rPr>
        <w:t>i</w:t>
      </w:r>
      <w:r>
        <w:rPr>
          <w:rFonts w:ascii="Times New Roman" w:cs="Times New Roman" w:eastAsia="Times New Roman" w:hAnsi="Times New Roman"/>
          <w:sz w:val="18"/>
          <w:szCs w:val="18"/>
          <w:color w:val="363434"/>
        </w:rPr>
        <w:t>vities, an</w:t>
      </w:r>
      <w:r>
        <w:rPr>
          <w:rFonts w:ascii="Times New Roman" w:cs="Times New Roman" w:eastAsia="Times New Roman" w:hAnsi="Times New Roman"/>
          <w:sz w:val="18"/>
          <w:szCs w:val="18"/>
          <w:color w:val="131313"/>
        </w:rPr>
        <w:t xml:space="preserve">d </w:t>
      </w:r>
      <w:r>
        <w:rPr>
          <w:rFonts w:ascii="Times New Roman" w:cs="Times New Roman" w:eastAsia="Times New Roman" w:hAnsi="Times New Roman"/>
          <w:sz w:val="18"/>
          <w:szCs w:val="18"/>
          <w:color w:val="363434"/>
        </w:rPr>
        <w:t>may e</w:t>
      </w:r>
      <w:r>
        <w:rPr>
          <w:rFonts w:ascii="Times New Roman" w:cs="Times New Roman" w:eastAsia="Times New Roman" w:hAnsi="Times New Roman"/>
          <w:sz w:val="18"/>
          <w:szCs w:val="18"/>
          <w:color w:val="131313"/>
        </w:rPr>
        <w:t xml:space="preserve">nd </w:t>
      </w:r>
      <w:r>
        <w:rPr>
          <w:rFonts w:ascii="Times New Roman" w:cs="Times New Roman" w:eastAsia="Times New Roman" w:hAnsi="Times New Roman"/>
          <w:sz w:val="18"/>
          <w:szCs w:val="18"/>
          <w:color w:val="363434"/>
        </w:rPr>
        <w:t>any of</w:t>
      </w:r>
      <w:r>
        <w:rPr>
          <w:rFonts w:ascii="Times New Roman" w:cs="Times New Roman" w:eastAsia="Times New Roman" w:hAnsi="Times New Roman"/>
          <w:sz w:val="18"/>
          <w:szCs w:val="18"/>
          <w:color w:val="131313"/>
        </w:rPr>
        <w:t xml:space="preserve"> th</w:t>
      </w:r>
      <w:r>
        <w:rPr>
          <w:rFonts w:ascii="Times New Roman" w:cs="Times New Roman" w:eastAsia="Times New Roman" w:hAnsi="Times New Roman"/>
          <w:sz w:val="18"/>
          <w:szCs w:val="18"/>
          <w:color w:val="363434"/>
        </w:rPr>
        <w:t>ese activ</w:t>
      </w:r>
      <w:r>
        <w:rPr>
          <w:rFonts w:ascii="Times New Roman" w:cs="Times New Roman" w:eastAsia="Times New Roman" w:hAnsi="Times New Roman"/>
          <w:sz w:val="18"/>
          <w:szCs w:val="18"/>
          <w:color w:val="131313"/>
        </w:rPr>
        <w:t>i</w:t>
      </w:r>
      <w:r>
        <w:rPr>
          <w:rFonts w:ascii="Times New Roman" w:cs="Times New Roman" w:eastAsia="Times New Roman" w:hAnsi="Times New Roman"/>
          <w:sz w:val="18"/>
          <w:szCs w:val="18"/>
          <w:color w:val="363434"/>
        </w:rPr>
        <w:t>ties</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363434"/>
        </w:rPr>
        <w:t>a</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63434"/>
        </w:rPr>
        <w:t xml:space="preserve"> a</w:t>
      </w:r>
      <w:r>
        <w:rPr>
          <w:rFonts w:ascii="Times New Roman" w:cs="Times New Roman" w:eastAsia="Times New Roman" w:hAnsi="Times New Roman"/>
          <w:sz w:val="18"/>
          <w:szCs w:val="18"/>
          <w:color w:val="131313"/>
        </w:rPr>
        <w:t>n</w:t>
      </w:r>
      <w:r>
        <w:rPr>
          <w:rFonts w:ascii="Times New Roman" w:cs="Times New Roman" w:eastAsia="Times New Roman" w:hAnsi="Times New Roman"/>
          <w:sz w:val="18"/>
          <w:szCs w:val="18"/>
          <w:color w:val="363434"/>
        </w:rPr>
        <w:t xml:space="preserve">y </w:t>
      </w:r>
      <w:r>
        <w:rPr>
          <w:rFonts w:ascii="Times New Roman" w:cs="Times New Roman" w:eastAsia="Times New Roman" w:hAnsi="Times New Roman"/>
          <w:sz w:val="18"/>
          <w:szCs w:val="18"/>
          <w:color w:val="131313"/>
        </w:rPr>
        <w:t>tim</w:t>
      </w:r>
      <w:r>
        <w:rPr>
          <w:rFonts w:ascii="Times New Roman" w:cs="Times New Roman" w:eastAsia="Times New Roman" w:hAnsi="Times New Roman"/>
          <w:sz w:val="18"/>
          <w:szCs w:val="18"/>
          <w:color w:val="363434"/>
        </w:rPr>
        <w:t>e</w:t>
      </w:r>
      <w:r>
        <w:rPr>
          <w:rFonts w:ascii="Times New Roman" w:cs="Times New Roman" w:eastAsia="Times New Roman" w:hAnsi="Times New Roman"/>
          <w:sz w:val="18"/>
          <w:szCs w:val="18"/>
          <w:color w:val="131313"/>
        </w:rPr>
        <w:t>.</w:t>
      </w:r>
    </w:p>
    <w:p>
      <w:pPr>
        <w:spacing w:after="0" w:line="174" w:lineRule="exact"/>
        <w:rPr>
          <w:sz w:val="20"/>
          <w:szCs w:val="20"/>
          <w:color w:val="auto"/>
        </w:rPr>
      </w:pPr>
    </w:p>
    <w:p>
      <w:pPr>
        <w:jc w:val="both"/>
        <w:ind w:firstLine="328"/>
        <w:spacing w:after="0" w:line="242" w:lineRule="auto"/>
        <w:rPr>
          <w:sz w:val="20"/>
          <w:szCs w:val="20"/>
          <w:color w:val="auto"/>
        </w:rPr>
      </w:pPr>
      <w:r>
        <w:rPr>
          <w:rFonts w:ascii="Times New Roman" w:cs="Times New Roman" w:eastAsia="Times New Roman" w:hAnsi="Times New Roman"/>
          <w:sz w:val="18"/>
          <w:szCs w:val="18"/>
          <w:color w:val="131313"/>
        </w:rPr>
        <w:t>The Selling Securityholder may solicit offers to purchase the securities directly from, and it may sell such securities directly to</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institutional investors or others. In this case</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no underwriters or agents would be involved. The terms of any of those sales, including the terms of any bidding or auction process</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if utilized, will be described in the applicable prospectus supplement.</w:t>
      </w:r>
    </w:p>
    <w:p>
      <w:pPr>
        <w:spacing w:after="0" w:line="184" w:lineRule="exact"/>
        <w:rPr>
          <w:sz w:val="20"/>
          <w:szCs w:val="20"/>
          <w:color w:val="auto"/>
        </w:rPr>
      </w:pPr>
    </w:p>
    <w:p>
      <w:pPr>
        <w:jc w:val="both"/>
        <w:ind w:firstLine="327"/>
        <w:spacing w:after="0" w:line="242" w:lineRule="auto"/>
        <w:rPr>
          <w:sz w:val="20"/>
          <w:szCs w:val="20"/>
          <w:color w:val="auto"/>
        </w:rPr>
      </w:pPr>
      <w:r>
        <w:rPr>
          <w:rFonts w:ascii="Times New Roman" w:cs="Times New Roman" w:eastAsia="Times New Roman" w:hAnsi="Times New Roman"/>
          <w:sz w:val="18"/>
          <w:szCs w:val="18"/>
          <w:color w:val="131313"/>
        </w:rPr>
        <w:t>It is possible that one or more underwriters may make a market in our securities</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but such underwriters will not be obligated to do so and may discontinue any market making at any time without notice</w:t>
      </w:r>
      <w:r>
        <w:rPr>
          <w:rFonts w:ascii="Times New Roman" w:cs="Times New Roman" w:eastAsia="Times New Roman" w:hAnsi="Times New Roman"/>
          <w:sz w:val="18"/>
          <w:szCs w:val="18"/>
          <w:color w:val="363434"/>
        </w:rPr>
        <w:t>.</w:t>
      </w:r>
      <w:r>
        <w:rPr>
          <w:rFonts w:ascii="Times New Roman" w:cs="Times New Roman" w:eastAsia="Times New Roman" w:hAnsi="Times New Roman"/>
          <w:sz w:val="18"/>
          <w:szCs w:val="18"/>
          <w:color w:val="131313"/>
        </w:rPr>
        <w:t xml:space="preserve"> We cannot give any assurance as to the liquidity of the trading market for our securities. Our Ordinary Shares are currently listed on the NYSE under the symbol "STM”.</w:t>
      </w:r>
    </w:p>
    <w:p>
      <w:pPr>
        <w:spacing w:after="0" w:line="184" w:lineRule="exact"/>
        <w:rPr>
          <w:sz w:val="20"/>
          <w:szCs w:val="20"/>
          <w:color w:val="auto"/>
        </w:rPr>
      </w:pPr>
    </w:p>
    <w:p>
      <w:pPr>
        <w:jc w:val="both"/>
        <w:ind w:firstLine="328"/>
        <w:spacing w:after="0"/>
        <w:rPr>
          <w:sz w:val="20"/>
          <w:szCs w:val="20"/>
          <w:color w:val="auto"/>
        </w:rPr>
      </w:pPr>
      <w:r>
        <w:rPr>
          <w:rFonts w:ascii="Times New Roman" w:cs="Times New Roman" w:eastAsia="Times New Roman" w:hAnsi="Times New Roman"/>
          <w:sz w:val="18"/>
          <w:szCs w:val="18"/>
          <w:color w:val="131313"/>
        </w:rPr>
        <w:t>The Selling Securityholder may authori</w:t>
      </w:r>
      <w:r>
        <w:rPr>
          <w:rFonts w:ascii="Times New Roman" w:cs="Times New Roman" w:eastAsia="Times New Roman" w:hAnsi="Times New Roman"/>
          <w:sz w:val="18"/>
          <w:szCs w:val="18"/>
          <w:color w:val="312F2F"/>
        </w:rPr>
        <w:t>z</w:t>
      </w:r>
      <w:r>
        <w:rPr>
          <w:rFonts w:ascii="Times New Roman" w:cs="Times New Roman" w:eastAsia="Times New Roman" w:hAnsi="Times New Roman"/>
          <w:sz w:val="18"/>
          <w:szCs w:val="18"/>
          <w:color w:val="131313"/>
        </w:rPr>
        <w:t>e underwriters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broker-dealers or agents to solicit offers by certain purchasers to purchase the securities at the public offering price set forth </w:t>
      </w:r>
      <w:r>
        <w:rPr>
          <w:rFonts w:ascii="Times New Roman" w:cs="Times New Roman" w:eastAsia="Times New Roman" w:hAnsi="Times New Roman"/>
          <w:sz w:val="18"/>
          <w:szCs w:val="18"/>
          <w:color w:val="050505"/>
        </w:rPr>
        <w:t>in</w:t>
      </w:r>
      <w:r>
        <w:rPr>
          <w:rFonts w:ascii="Times New Roman" w:cs="Times New Roman" w:eastAsia="Times New Roman" w:hAnsi="Times New Roman"/>
          <w:sz w:val="18"/>
          <w:szCs w:val="18"/>
          <w:color w:val="131313"/>
        </w:rPr>
        <w:t xml:space="preserve"> the prospectus supplement pursuant to delayed delivery contracts providing for payment and delivery on a specified date in the future</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The contract</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 xml:space="preserve"> will be subject only to those conditions set forth in the prospectus supplement, and the prospectus supplement will set forth any commissions we or the Selling Securityholder pay for solicitation of these contracts</w:t>
      </w:r>
      <w:r>
        <w:rPr>
          <w:rFonts w:ascii="Times New Roman" w:cs="Times New Roman" w:eastAsia="Times New Roman" w:hAnsi="Times New Roman"/>
          <w:sz w:val="18"/>
          <w:szCs w:val="18"/>
          <w:color w:val="312F2F"/>
        </w:rPr>
        <w:t>.</w:t>
      </w:r>
    </w:p>
    <w:p>
      <w:pPr>
        <w:spacing w:after="0" w:line="185" w:lineRule="exact"/>
        <w:rPr>
          <w:sz w:val="20"/>
          <w:szCs w:val="20"/>
          <w:color w:val="auto"/>
        </w:rPr>
      </w:pPr>
    </w:p>
    <w:p>
      <w:pPr>
        <w:jc w:val="both"/>
        <w:ind w:firstLine="331"/>
        <w:spacing w:after="0" w:line="233" w:lineRule="auto"/>
        <w:rPr>
          <w:sz w:val="20"/>
          <w:szCs w:val="20"/>
          <w:color w:val="auto"/>
        </w:rPr>
      </w:pPr>
      <w:r>
        <w:rPr>
          <w:rFonts w:ascii="Times New Roman" w:cs="Times New Roman" w:eastAsia="Times New Roman" w:hAnsi="Times New Roman"/>
          <w:sz w:val="18"/>
          <w:szCs w:val="18"/>
          <w:color w:val="131313"/>
        </w:rPr>
        <w:t>A Selling Securityholder m</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131313"/>
        </w:rPr>
        <w:t>y enter into derivati</w:t>
      </w:r>
      <w:r>
        <w:rPr>
          <w:rFonts w:ascii="Times New Roman" w:cs="Times New Roman" w:eastAsia="Times New Roman" w:hAnsi="Times New Roman"/>
          <w:sz w:val="18"/>
          <w:szCs w:val="18"/>
          <w:color w:val="312F2F"/>
        </w:rPr>
        <w:t>v</w:t>
      </w:r>
      <w:r>
        <w:rPr>
          <w:rFonts w:ascii="Times New Roman" w:cs="Times New Roman" w:eastAsia="Times New Roman" w:hAnsi="Times New Roman"/>
          <w:sz w:val="18"/>
          <w:szCs w:val="18"/>
          <w:color w:val="131313"/>
        </w:rPr>
        <w:t>e transactions with third parties, or s</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50505"/>
        </w:rPr>
        <w:t>ll</w:t>
      </w:r>
      <w:r>
        <w:rPr>
          <w:rFonts w:ascii="Times New Roman" w:cs="Times New Roman" w:eastAsia="Times New Roman" w:hAnsi="Times New Roman"/>
          <w:sz w:val="18"/>
          <w:szCs w:val="18"/>
          <w:color w:val="131313"/>
        </w:rPr>
        <w:t xml:space="preserve"> securiti</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s not cov</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red by this prospectus to third parties in privatel</w:t>
      </w:r>
      <w:r>
        <w:rPr>
          <w:rFonts w:ascii="Times New Roman" w:cs="Times New Roman" w:eastAsia="Times New Roman" w:hAnsi="Times New Roman"/>
          <w:sz w:val="18"/>
          <w:szCs w:val="18"/>
          <w:color w:val="312F2F"/>
        </w:rPr>
        <w:t>y</w:t>
      </w:r>
      <w:r>
        <w:rPr>
          <w:rFonts w:ascii="Times New Roman" w:cs="Times New Roman" w:eastAsia="Times New Roman" w:hAnsi="Times New Roman"/>
          <w:sz w:val="18"/>
          <w:szCs w:val="18"/>
          <w:color w:val="131313"/>
        </w:rPr>
        <w:t xml:space="preserve"> negotiated transactions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If the applicable prospectus supplement indic</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131313"/>
        </w:rPr>
        <w:t>tes, in connection with those deri</w:t>
      </w:r>
      <w:r>
        <w:rPr>
          <w:rFonts w:ascii="Times New Roman" w:cs="Times New Roman" w:eastAsia="Times New Roman" w:hAnsi="Times New Roman"/>
          <w:sz w:val="18"/>
          <w:szCs w:val="18"/>
          <w:color w:val="312F2F"/>
        </w:rPr>
        <w:t>va</w:t>
      </w:r>
      <w:r>
        <w:rPr>
          <w:rFonts w:ascii="Times New Roman" w:cs="Times New Roman" w:eastAsia="Times New Roman" w:hAnsi="Times New Roman"/>
          <w:sz w:val="18"/>
          <w:szCs w:val="18"/>
          <w:color w:val="131313"/>
        </w:rPr>
        <w:t>tives, the third parties may sell securities co</w:t>
      </w:r>
      <w:r>
        <w:rPr>
          <w:rFonts w:ascii="Times New Roman" w:cs="Times New Roman" w:eastAsia="Times New Roman" w:hAnsi="Times New Roman"/>
          <w:sz w:val="18"/>
          <w:szCs w:val="18"/>
          <w:color w:val="312F2F"/>
        </w:rPr>
        <w:t>v</w:t>
      </w:r>
      <w:r>
        <w:rPr>
          <w:rFonts w:ascii="Times New Roman" w:cs="Times New Roman" w:eastAsia="Times New Roman" w:hAnsi="Times New Roman"/>
          <w:sz w:val="18"/>
          <w:szCs w:val="18"/>
          <w:color w:val="131313"/>
        </w:rPr>
        <w:t xml:space="preserve">ered </w:t>
      </w:r>
      <w:r>
        <w:rPr>
          <w:rFonts w:ascii="Times New Roman" w:cs="Times New Roman" w:eastAsia="Times New Roman" w:hAnsi="Times New Roman"/>
          <w:sz w:val="18"/>
          <w:szCs w:val="18"/>
          <w:color w:val="050505"/>
        </w:rPr>
        <w:t>by</w:t>
      </w:r>
      <w:r>
        <w:rPr>
          <w:rFonts w:ascii="Times New Roman" w:cs="Times New Roman" w:eastAsia="Times New Roman" w:hAnsi="Times New Roman"/>
          <w:sz w:val="18"/>
          <w:szCs w:val="18"/>
          <w:color w:val="131313"/>
        </w:rPr>
        <w:t xml:space="preserve"> this prospectus and th</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 xml:space="preserve"> applicabl</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 xml:space="preserve"> prospectus, including </w:t>
      </w:r>
      <w:r>
        <w:rPr>
          <w:rFonts w:ascii="Times New Roman" w:cs="Times New Roman" w:eastAsia="Times New Roman" w:hAnsi="Times New Roman"/>
          <w:sz w:val="18"/>
          <w:szCs w:val="18"/>
          <w:color w:val="050505"/>
        </w:rPr>
        <w:t>in</w:t>
      </w:r>
      <w:r>
        <w:rPr>
          <w:rFonts w:ascii="Times New Roman" w:cs="Times New Roman" w:eastAsia="Times New Roman" w:hAnsi="Times New Roman"/>
          <w:sz w:val="18"/>
          <w:szCs w:val="18"/>
          <w:color w:val="131313"/>
        </w:rPr>
        <w:t xml:space="preserve"> short sale transactions. If so, the third party may use securities pledged by </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050505"/>
        </w:rPr>
        <w:t>ny</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131313"/>
        </w:rPr>
        <w:t>Selling Securityhold</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50505"/>
        </w:rPr>
        <w:t>r</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131313"/>
        </w:rPr>
        <w:t>or borrowed from any Selling Securityholder or oth</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50505"/>
        </w:rPr>
        <w:t>rs</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131313"/>
        </w:rPr>
        <w:t>to settle those sales or to close out any related open borrowings of stock</w:t>
      </w:r>
      <w:r>
        <w:rPr>
          <w:rFonts w:ascii="Times New Roman" w:cs="Times New Roman" w:eastAsia="Times New Roman" w:hAnsi="Times New Roman"/>
          <w:sz w:val="18"/>
          <w:szCs w:val="18"/>
          <w:color w:val="312F2F"/>
        </w:rPr>
        <w:t>, a</w:t>
      </w:r>
      <w:r>
        <w:rPr>
          <w:rFonts w:ascii="Times New Roman" w:cs="Times New Roman" w:eastAsia="Times New Roman" w:hAnsi="Times New Roman"/>
          <w:sz w:val="18"/>
          <w:szCs w:val="18"/>
          <w:color w:val="050505"/>
        </w:rPr>
        <w:t>nd</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131313"/>
        </w:rPr>
        <w:t>may use securities received from any Sellin</w:t>
      </w:r>
      <w:r>
        <w:rPr>
          <w:rFonts w:ascii="Times New Roman" w:cs="Times New Roman" w:eastAsia="Times New Roman" w:hAnsi="Times New Roman"/>
          <w:sz w:val="18"/>
          <w:szCs w:val="18"/>
          <w:color w:val="312F2F"/>
        </w:rPr>
        <w:t xml:space="preserve">g </w:t>
      </w:r>
      <w:r>
        <w:rPr>
          <w:rFonts w:ascii="Times New Roman" w:cs="Times New Roman" w:eastAsia="Times New Roman" w:hAnsi="Times New Roman"/>
          <w:sz w:val="18"/>
          <w:szCs w:val="18"/>
          <w:color w:val="131313"/>
        </w:rPr>
        <w:t>Securityholder</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050505"/>
        </w:rPr>
        <w:t>in</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131313"/>
        </w:rPr>
        <w:t>settlement of those derivatives to close out any related open borrowings of stock. The</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050505"/>
        </w:rPr>
        <w:t xml:space="preserve">third </w:t>
      </w:r>
      <w:r>
        <w:rPr>
          <w:rFonts w:ascii="Times New Roman" w:cs="Times New Roman" w:eastAsia="Times New Roman" w:hAnsi="Times New Roman"/>
          <w:sz w:val="18"/>
          <w:szCs w:val="18"/>
          <w:color w:val="131313"/>
        </w:rPr>
        <w:t>party in such sale transaction</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color w:val="131313"/>
        </w:rPr>
        <w:t>will be an</w:t>
      </w:r>
      <w:r>
        <w:rPr>
          <w:rFonts w:ascii="Times New Roman" w:cs="Times New Roman" w:eastAsia="Times New Roman" w:hAnsi="Times New Roman"/>
          <w:sz w:val="18"/>
          <w:szCs w:val="18"/>
          <w:color w:val="050505"/>
        </w:rPr>
        <w:t xml:space="preserve"> underwriter </w:t>
      </w:r>
      <w:r>
        <w:rPr>
          <w:rFonts w:ascii="Times New Roman" w:cs="Times New Roman" w:eastAsia="Times New Roman" w:hAnsi="Times New Roman"/>
          <w:sz w:val="18"/>
          <w:szCs w:val="18"/>
          <w:color w:val="131313"/>
        </w:rPr>
        <w:t>and will be identified in the applicable prospectus supplement (or a post-effective amendment).</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color w:val="131313"/>
        </w:rPr>
        <w:t>In addition</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131313"/>
        </w:rPr>
        <w:t xml:space="preserve"> an</w:t>
      </w:r>
      <w:r>
        <w:rPr>
          <w:rFonts w:ascii="Times New Roman" w:cs="Times New Roman" w:eastAsia="Times New Roman" w:hAnsi="Times New Roman"/>
          <w:sz w:val="18"/>
          <w:szCs w:val="18"/>
          <w:color w:val="312F2F"/>
        </w:rPr>
        <w:t>y</w:t>
      </w:r>
      <w:r>
        <w:rPr>
          <w:rFonts w:ascii="Times New Roman" w:cs="Times New Roman" w:eastAsia="Times New Roman" w:hAnsi="Times New Roman"/>
          <w:sz w:val="18"/>
          <w:szCs w:val="18"/>
          <w:color w:val="131313"/>
        </w:rPr>
        <w:t xml:space="preserve"> Selling Securityholder </w:t>
      </w:r>
      <w:r>
        <w:rPr>
          <w:rFonts w:ascii="Times New Roman" w:cs="Times New Roman" w:eastAsia="Times New Roman" w:hAnsi="Times New Roman"/>
          <w:sz w:val="18"/>
          <w:szCs w:val="18"/>
          <w:color w:val="312F2F"/>
        </w:rPr>
        <w:t>may otherwise loan or pledge securities to a financial institution or other third party that in turn may sell the</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312F2F"/>
        </w:rPr>
        <w:t>securities short using this prospectus</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312F2F"/>
        </w:rPr>
        <w:t xml:space="preserve"> Such financial institution or other third party may transfer its economic short position to investors in our securities or in connection with a concurrent offering of other securities</w:t>
      </w:r>
      <w:r>
        <w:rPr>
          <w:rFonts w:ascii="Times New Roman" w:cs="Times New Roman" w:eastAsia="Times New Roman" w:hAnsi="Times New Roman"/>
          <w:sz w:val="18"/>
          <w:szCs w:val="18"/>
          <w:color w:val="4B4B4B"/>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3" w:name="page34"/>
    <w:bookmarkEnd w:id="33"/>
    <w:p>
      <w:pPr>
        <w:jc w:val="both"/>
        <w:ind w:right="20" w:firstLine="321"/>
        <w:spacing w:after="0" w:line="266" w:lineRule="auto"/>
        <w:rPr>
          <w:sz w:val="20"/>
          <w:szCs w:val="20"/>
          <w:color w:val="auto"/>
        </w:rPr>
      </w:pPr>
      <w:r>
        <w:rPr>
          <w:rFonts w:ascii="Times New Roman" w:cs="Times New Roman" w:eastAsia="Times New Roman" w:hAnsi="Times New Roman"/>
          <w:sz w:val="18"/>
          <w:szCs w:val="18"/>
          <w:color w:val="131313"/>
        </w:rPr>
        <w:t>In effecting sales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broker-dealers or agents engaged by the Selling Securityholder may arrange for other broker-dealers to participate</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131313"/>
        </w:rPr>
        <w:t xml:space="preserve"> Broker-dealers or agents may receive commissions, discounts or concessions from the Selling Securityholder in </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131313"/>
        </w:rPr>
        <w:t>mounts to be negotiated immediately prior to the sale.</w:t>
      </w:r>
    </w:p>
    <w:p>
      <w:pPr>
        <w:spacing w:after="0" w:line="149"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131313"/>
        </w:rPr>
        <w:t>In compliance with the guidelines of the Fin</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131313"/>
        </w:rPr>
        <w:t>ncial Industry Regulatory Authority (</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FINRA</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the aggregate maximum discount</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commission</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fees or other </w:t>
      </w:r>
      <w:r>
        <w:rPr>
          <w:rFonts w:ascii="Times New Roman" w:cs="Times New Roman" w:eastAsia="Times New Roman" w:hAnsi="Times New Roman"/>
          <w:sz w:val="18"/>
          <w:szCs w:val="18"/>
          <w:color w:val="050505"/>
        </w:rPr>
        <w:t>items</w:t>
      </w:r>
      <w:r>
        <w:rPr>
          <w:rFonts w:ascii="Times New Roman" w:cs="Times New Roman" w:eastAsia="Times New Roman" w:hAnsi="Times New Roman"/>
          <w:sz w:val="18"/>
          <w:szCs w:val="18"/>
          <w:color w:val="131313"/>
        </w:rPr>
        <w:t xml:space="preserve"> con</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 xml:space="preserve">tituting underwriting compensation to be received by any FINRA </w:t>
      </w:r>
      <w:r>
        <w:rPr>
          <w:rFonts w:ascii="Times New Roman" w:cs="Times New Roman" w:eastAsia="Times New Roman" w:hAnsi="Times New Roman"/>
          <w:sz w:val="18"/>
          <w:szCs w:val="18"/>
          <w:color w:val="050505"/>
        </w:rPr>
        <w:t>member</w:t>
      </w:r>
      <w:r>
        <w:rPr>
          <w:rFonts w:ascii="Times New Roman" w:cs="Times New Roman" w:eastAsia="Times New Roman" w:hAnsi="Times New Roman"/>
          <w:sz w:val="18"/>
          <w:szCs w:val="18"/>
          <w:color w:val="131313"/>
        </w:rPr>
        <w:t xml:space="preserve"> or independent </w:t>
      </w:r>
      <w:r>
        <w:rPr>
          <w:rFonts w:ascii="Times New Roman" w:cs="Times New Roman" w:eastAsia="Times New Roman" w:hAnsi="Times New Roman"/>
          <w:sz w:val="18"/>
          <w:szCs w:val="18"/>
          <w:color w:val="050505"/>
        </w:rPr>
        <w:t>broker-dealer</w:t>
      </w:r>
      <w:r>
        <w:rPr>
          <w:rFonts w:ascii="Times New Roman" w:cs="Times New Roman" w:eastAsia="Times New Roman" w:hAnsi="Times New Roman"/>
          <w:sz w:val="18"/>
          <w:szCs w:val="18"/>
          <w:color w:val="131313"/>
        </w:rPr>
        <w:t xml:space="preserve"> will not exceed 8% of the gross proceeds of any offering pursuant to this prospectus and any applicable prospectus supplement .</w:t>
      </w:r>
    </w:p>
    <w:p>
      <w:pPr>
        <w:spacing w:after="0" w:line="163" w:lineRule="exact"/>
        <w:rPr>
          <w:sz w:val="20"/>
          <w:szCs w:val="20"/>
          <w:color w:val="auto"/>
        </w:rPr>
      </w:pPr>
    </w:p>
    <w:p>
      <w:pPr>
        <w:jc w:val="both"/>
        <w:ind w:firstLine="321"/>
        <w:spacing w:after="0" w:line="266" w:lineRule="auto"/>
        <w:rPr>
          <w:sz w:val="20"/>
          <w:szCs w:val="20"/>
          <w:color w:val="auto"/>
        </w:rPr>
      </w:pPr>
      <w:r>
        <w:rPr>
          <w:rFonts w:ascii="Times New Roman" w:cs="Times New Roman" w:eastAsia="Times New Roman" w:hAnsi="Times New Roman"/>
          <w:sz w:val="18"/>
          <w:szCs w:val="18"/>
          <w:color w:val="131313"/>
        </w:rPr>
        <w:t>If at the time of any offering made under this pro</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pectus a membe</w:t>
      </w:r>
      <w:r>
        <w:rPr>
          <w:rFonts w:ascii="Times New Roman" w:cs="Times New Roman" w:eastAsia="Times New Roman" w:hAnsi="Times New Roman"/>
          <w:sz w:val="18"/>
          <w:szCs w:val="18"/>
          <w:color w:val="312F2F"/>
        </w:rPr>
        <w:t>r</w:t>
      </w:r>
      <w:r>
        <w:rPr>
          <w:rFonts w:ascii="Times New Roman" w:cs="Times New Roman" w:eastAsia="Times New Roman" w:hAnsi="Times New Roman"/>
          <w:sz w:val="18"/>
          <w:szCs w:val="18"/>
          <w:color w:val="131313"/>
        </w:rPr>
        <w:t xml:space="preserve"> of FINRA participating in the offering has a "conflict of interest" as defined in FINRA Rule 5121 ("Rule 5121")</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that offering will be conducted in accordance with the relevant provisions of Rule 5121.</w:t>
      </w:r>
    </w:p>
    <w:p>
      <w:pPr>
        <w:spacing w:after="0" w:line="162" w:lineRule="exact"/>
        <w:rPr>
          <w:sz w:val="20"/>
          <w:szCs w:val="20"/>
          <w:color w:val="auto"/>
        </w:rPr>
      </w:pPr>
    </w:p>
    <w:p>
      <w:pPr>
        <w:jc w:val="both"/>
        <w:ind w:firstLine="328"/>
        <w:spacing w:after="0" w:line="235" w:lineRule="auto"/>
        <w:rPr>
          <w:sz w:val="20"/>
          <w:szCs w:val="20"/>
          <w:color w:val="auto"/>
        </w:rPr>
      </w:pPr>
      <w:r>
        <w:rPr>
          <w:rFonts w:ascii="Times New Roman" w:cs="Times New Roman" w:eastAsia="Times New Roman" w:hAnsi="Times New Roman"/>
          <w:sz w:val="18"/>
          <w:szCs w:val="18"/>
          <w:color w:val="131313"/>
        </w:rPr>
        <w:t>To our knowledge</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there are currently no plans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arrangements or understandings between the Selling Securityholder and any broker-dealer or agent regarding the sale of the securities by the Selling Securityholder</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Upon our notification by a Selling Securityholder that any material arrangem</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50505"/>
        </w:rPr>
        <w:t>nt</w:t>
      </w:r>
      <w:r>
        <w:rPr>
          <w:rFonts w:ascii="Times New Roman" w:cs="Times New Roman" w:eastAsia="Times New Roman" w:hAnsi="Times New Roman"/>
          <w:sz w:val="18"/>
          <w:szCs w:val="18"/>
          <w:color w:val="131313"/>
        </w:rPr>
        <w:t xml:space="preserve"> has been ent</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red into with an underwriter or broker-dealer for the sale of securities through a block trad</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 special offering</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exchange distribution, secondary distribution or a purchase by an underwriter or </w:t>
      </w:r>
      <w:r>
        <w:rPr>
          <w:rFonts w:ascii="Times New Roman" w:cs="Times New Roman" w:eastAsia="Times New Roman" w:hAnsi="Times New Roman"/>
          <w:sz w:val="18"/>
          <w:szCs w:val="18"/>
          <w:color w:val="050505"/>
        </w:rPr>
        <w:t>broker-dealer,</w:t>
      </w:r>
      <w:r>
        <w:rPr>
          <w:rFonts w:ascii="Times New Roman" w:cs="Times New Roman" w:eastAsia="Times New Roman" w:hAnsi="Times New Roman"/>
          <w:sz w:val="18"/>
          <w:szCs w:val="18"/>
          <w:color w:val="131313"/>
        </w:rPr>
        <w:t xml:space="preserve"> we will file</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if r</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 xml:space="preserve">quired by applicable </w:t>
      </w:r>
      <w:r>
        <w:rPr>
          <w:rFonts w:ascii="Times New Roman" w:cs="Times New Roman" w:eastAsia="Times New Roman" w:hAnsi="Times New Roman"/>
          <w:sz w:val="18"/>
          <w:szCs w:val="18"/>
          <w:color w:val="050505"/>
        </w:rPr>
        <w:t>law</w:t>
      </w:r>
      <w:r>
        <w:rPr>
          <w:rFonts w:ascii="Times New Roman" w:cs="Times New Roman" w:eastAsia="Times New Roman" w:hAnsi="Times New Roman"/>
          <w:sz w:val="18"/>
          <w:szCs w:val="18"/>
          <w:color w:val="131313"/>
        </w:rPr>
        <w:t xml:space="preserve"> or r</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 xml:space="preserve">gulation, a supplement to this prospectus pursuant to Rule 424(b) under the Securities Act disclosing certain material </w:t>
      </w:r>
      <w:r>
        <w:rPr>
          <w:rFonts w:ascii="Times New Roman" w:cs="Times New Roman" w:eastAsia="Times New Roman" w:hAnsi="Times New Roman"/>
          <w:sz w:val="18"/>
          <w:szCs w:val="18"/>
          <w:color w:val="050505"/>
        </w:rPr>
        <w:t>information</w:t>
      </w:r>
      <w:r>
        <w:rPr>
          <w:rFonts w:ascii="Times New Roman" w:cs="Times New Roman" w:eastAsia="Times New Roman" w:hAnsi="Times New Roman"/>
          <w:sz w:val="18"/>
          <w:szCs w:val="18"/>
          <w:color w:val="131313"/>
        </w:rPr>
        <w:t xml:space="preserve"> relating to such underwrit</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50505"/>
        </w:rPr>
        <w:t>r</w:t>
      </w:r>
      <w:r>
        <w:rPr>
          <w:rFonts w:ascii="Times New Roman" w:cs="Times New Roman" w:eastAsia="Times New Roman" w:hAnsi="Times New Roman"/>
          <w:sz w:val="18"/>
          <w:szCs w:val="18"/>
          <w:color w:val="131313"/>
        </w:rPr>
        <w:t xml:space="preserve"> or broker-dealer and such offering.</w:t>
      </w:r>
    </w:p>
    <w:p>
      <w:pPr>
        <w:spacing w:after="0" w:line="188" w:lineRule="exact"/>
        <w:rPr>
          <w:sz w:val="20"/>
          <w:szCs w:val="20"/>
          <w:color w:val="auto"/>
        </w:rPr>
      </w:pPr>
    </w:p>
    <w:p>
      <w:pPr>
        <w:jc w:val="both"/>
        <w:ind w:firstLine="322"/>
        <w:spacing w:after="0" w:line="242" w:lineRule="auto"/>
        <w:rPr>
          <w:sz w:val="20"/>
          <w:szCs w:val="20"/>
          <w:color w:val="auto"/>
        </w:rPr>
      </w:pPr>
      <w:r>
        <w:rPr>
          <w:rFonts w:ascii="Times New Roman" w:cs="Times New Roman" w:eastAsia="Times New Roman" w:hAnsi="Times New Roman"/>
          <w:sz w:val="18"/>
          <w:szCs w:val="18"/>
          <w:color w:val="131313"/>
        </w:rPr>
        <w:t>Underwriters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broker-dealers or agents may facilitate the marketing of an offering online directly or through one of their affiliates. In those case</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 xml:space="preserve"> prospective investors may view offerin</w:t>
      </w:r>
      <w:r>
        <w:rPr>
          <w:rFonts w:ascii="Times New Roman" w:cs="Times New Roman" w:eastAsia="Times New Roman" w:hAnsi="Times New Roman"/>
          <w:sz w:val="18"/>
          <w:szCs w:val="18"/>
          <w:color w:val="312F2F"/>
        </w:rPr>
        <w:t>g</w:t>
      </w:r>
      <w:r>
        <w:rPr>
          <w:rFonts w:ascii="Times New Roman" w:cs="Times New Roman" w:eastAsia="Times New Roman" w:hAnsi="Times New Roman"/>
          <w:sz w:val="18"/>
          <w:szCs w:val="18"/>
          <w:color w:val="131313"/>
        </w:rPr>
        <w:t xml:space="preserve"> terms and a prospectus online and</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depending upon the particular underwriter</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broker-deale</w:t>
      </w:r>
      <w:r>
        <w:rPr>
          <w:rFonts w:ascii="Times New Roman" w:cs="Times New Roman" w:eastAsia="Times New Roman" w:hAnsi="Times New Roman"/>
          <w:sz w:val="18"/>
          <w:szCs w:val="18"/>
          <w:color w:val="312F2F"/>
        </w:rPr>
        <w:t>r</w:t>
      </w:r>
      <w:r>
        <w:rPr>
          <w:rFonts w:ascii="Times New Roman" w:cs="Times New Roman" w:eastAsia="Times New Roman" w:hAnsi="Times New Roman"/>
          <w:sz w:val="18"/>
          <w:szCs w:val="18"/>
          <w:color w:val="131313"/>
        </w:rPr>
        <w:t xml:space="preserve"> or agent, place orders online or through their financial advisors.</w:t>
      </w:r>
    </w:p>
    <w:p>
      <w:pPr>
        <w:spacing w:after="0" w:line="18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131313"/>
        </w:rPr>
        <w:t>In offering the securities covered by this prospectus, if any of the Selling Securityholder or any underwriters, broker-dealer</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 xml:space="preserve"> or agents who execute sales for the Selling Securityholder are deemed to be </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84" w:lineRule="exact"/>
        <w:rPr>
          <w:sz w:val="20"/>
          <w:szCs w:val="20"/>
          <w:color w:val="auto"/>
        </w:rPr>
      </w:pPr>
    </w:p>
    <w:p>
      <w:pPr>
        <w:jc w:val="both"/>
        <w:ind w:firstLine="325"/>
        <w:spacing w:after="0" w:line="250" w:lineRule="auto"/>
        <w:rPr>
          <w:sz w:val="20"/>
          <w:szCs w:val="20"/>
          <w:color w:val="auto"/>
        </w:rPr>
      </w:pPr>
      <w:r>
        <w:rPr>
          <w:rFonts w:ascii="Times New Roman" w:cs="Times New Roman" w:eastAsia="Times New Roman" w:hAnsi="Times New Roman"/>
          <w:sz w:val="18"/>
          <w:szCs w:val="18"/>
          <w:color w:val="131313"/>
        </w:rPr>
        <w:t>The underwriters, broker-deal</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rs and agents may engage in transactions with us or the Selling Securityholder</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or perform services for u</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 xml:space="preserve"> or the Selling Securityholder, in the ordinary course of business.</w:t>
      </w:r>
    </w:p>
    <w:p>
      <w:pPr>
        <w:spacing w:after="0" w:line="17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131313"/>
        </w:rPr>
        <w:t>In order to comply with the securities laws of certain states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if applicable</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the securities must be sold in such jurisdictions only through registered or licensed brokers or dealer</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 xml:space="preserve"> In addition, in certain states the securities may not be sold unless they have been registered or qualified for sale in the applicable state or an </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xemption from the registration or qu</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131313"/>
        </w:rPr>
        <w:t>lification requirement is available and is compli</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d with.</w:t>
      </w:r>
    </w:p>
    <w:p>
      <w:pPr>
        <w:spacing w:after="0" w:line="184" w:lineRule="exact"/>
        <w:rPr>
          <w:sz w:val="20"/>
          <w:szCs w:val="20"/>
          <w:color w:val="auto"/>
        </w:rPr>
      </w:pPr>
    </w:p>
    <w:p>
      <w:pPr>
        <w:jc w:val="both"/>
        <w:ind w:firstLine="328"/>
        <w:spacing w:after="0"/>
        <w:rPr>
          <w:sz w:val="20"/>
          <w:szCs w:val="20"/>
          <w:color w:val="auto"/>
        </w:rPr>
      </w:pPr>
      <w:r>
        <w:rPr>
          <w:rFonts w:ascii="Times New Roman" w:cs="Times New Roman" w:eastAsia="Times New Roman" w:hAnsi="Times New Roman"/>
          <w:sz w:val="18"/>
          <w:szCs w:val="18"/>
          <w:color w:val="131313"/>
        </w:rPr>
        <w:t>The Selling Securityholder and any other persons participating in the sale or distribution of the securities will be subject to applicable provi</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ions o</w:t>
      </w:r>
      <w:r>
        <w:rPr>
          <w:rFonts w:ascii="Times New Roman" w:cs="Times New Roman" w:eastAsia="Times New Roman" w:hAnsi="Times New Roman"/>
          <w:sz w:val="18"/>
          <w:szCs w:val="18"/>
          <w:color w:val="312F2F"/>
        </w:rPr>
        <w:t>f</w:t>
      </w:r>
      <w:r>
        <w:rPr>
          <w:rFonts w:ascii="Times New Roman" w:cs="Times New Roman" w:eastAsia="Times New Roman" w:hAnsi="Times New Roman"/>
          <w:sz w:val="18"/>
          <w:szCs w:val="18"/>
          <w:color w:val="131313"/>
        </w:rPr>
        <w:t xml:space="preserve"> the Securities Act and the Exchange Act</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and the rules and </w:t>
      </w:r>
      <w:r>
        <w:rPr>
          <w:rFonts w:ascii="Times New Roman" w:cs="Times New Roman" w:eastAsia="Times New Roman" w:hAnsi="Times New Roman"/>
          <w:sz w:val="18"/>
          <w:szCs w:val="18"/>
          <w:color w:val="312F2F"/>
        </w:rPr>
        <w:t>r</w:t>
      </w:r>
      <w:r>
        <w:rPr>
          <w:rFonts w:ascii="Times New Roman" w:cs="Times New Roman" w:eastAsia="Times New Roman" w:hAnsi="Times New Roman"/>
          <w:sz w:val="18"/>
          <w:szCs w:val="18"/>
          <w:color w:val="131313"/>
        </w:rPr>
        <w:t>egulations thereunder</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including</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without limitation</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Regulation M. These provisions may restrict certain activities of</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and limit the timing of purchases and </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ales of any of the securities by, the Selling Securityholder or any other person, which limitations may affect the marketability of the shares of the securities</w:t>
      </w:r>
      <w:r>
        <w:rPr>
          <w:rFonts w:ascii="Times New Roman" w:cs="Times New Roman" w:eastAsia="Times New Roman" w:hAnsi="Times New Roman"/>
          <w:sz w:val="18"/>
          <w:szCs w:val="18"/>
          <w:color w:val="312F2F"/>
        </w:rPr>
        <w:t>.</w:t>
      </w:r>
    </w:p>
    <w:p>
      <w:pPr>
        <w:spacing w:after="0" w:line="185" w:lineRule="exact"/>
        <w:rPr>
          <w:sz w:val="20"/>
          <w:szCs w:val="20"/>
          <w:color w:val="auto"/>
        </w:rPr>
      </w:pPr>
    </w:p>
    <w:p>
      <w:pPr>
        <w:jc w:val="both"/>
        <w:ind w:firstLine="326"/>
        <w:spacing w:after="0" w:line="242" w:lineRule="auto"/>
        <w:rPr>
          <w:sz w:val="20"/>
          <w:szCs w:val="20"/>
          <w:color w:val="auto"/>
        </w:rPr>
      </w:pPr>
      <w:r>
        <w:rPr>
          <w:rFonts w:ascii="Times New Roman" w:cs="Times New Roman" w:eastAsia="Times New Roman" w:hAnsi="Times New Roman"/>
          <w:sz w:val="18"/>
          <w:szCs w:val="18"/>
          <w:color w:val="131313"/>
        </w:rPr>
        <w:t>We will make copies of this prospectus available to the Selling Securityholder for the purpose of satisfying the prospectus delivery requirements of the Securitie</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 xml:space="preserve"> Act. The Selling Securityholder may indemnify any agent</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broker-dealer or underwriter that participates in transactions involving the sale of the securities again</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131313"/>
        </w:rPr>
        <w:t>t certain liabilities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including liabilities arising under the Securities Act.</w:t>
      </w:r>
    </w:p>
    <w:p>
      <w:pPr>
        <w:spacing w:after="0" w:line="184" w:lineRule="exact"/>
        <w:rPr>
          <w:sz w:val="20"/>
          <w:szCs w:val="20"/>
          <w:color w:val="auto"/>
        </w:rPr>
      </w:pPr>
    </w:p>
    <w:p>
      <w:pPr>
        <w:jc w:val="both"/>
        <w:ind w:firstLine="326"/>
        <w:spacing w:after="0"/>
        <w:rPr>
          <w:sz w:val="20"/>
          <w:szCs w:val="20"/>
          <w:color w:val="auto"/>
        </w:rPr>
      </w:pPr>
      <w:r>
        <w:rPr>
          <w:rFonts w:ascii="Times New Roman" w:cs="Times New Roman" w:eastAsia="Times New Roman" w:hAnsi="Times New Roman"/>
          <w:sz w:val="18"/>
          <w:szCs w:val="18"/>
          <w:color w:val="131313"/>
        </w:rPr>
        <w:t>We have agreed to indemnify the Selling Securityholder against certain liabilities</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including certain liabilities under the S</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curities Act</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the </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131313"/>
        </w:rPr>
        <w:t>xchange Act or other federal or state law</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131313"/>
        </w:rPr>
        <w:t xml:space="preserve"> Agents, broker-dealers </w:t>
      </w:r>
      <w:r>
        <w:rPr>
          <w:rFonts w:ascii="Times New Roman" w:cs="Times New Roman" w:eastAsia="Times New Roman" w:hAnsi="Times New Roman"/>
          <w:sz w:val="18"/>
          <w:szCs w:val="18"/>
          <w:color w:val="312F2F"/>
        </w:rPr>
        <w:t>and underwriters may be entitled to indemnification by us and the Selling Securityholder against</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312F2F"/>
        </w:rPr>
        <w:t>certain civi</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12F2F"/>
        </w:rPr>
        <w:t xml:space="preserve"> liabi</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12F2F"/>
        </w:rPr>
        <w:t>ities, including liabilities under the Securities Act, or to contribution with respect to payments which the agents, broker</w:t>
      </w: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color w:val="312F2F"/>
        </w:rPr>
        <w:t>dealers or underwriters may be required to make in respect thereof.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EXPENSES RELATED TO THE OFFERING</w:t>
      </w:r>
    </w:p>
    <w:p>
      <w:pPr>
        <w:spacing w:after="0" w:line="216"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Set forth below is an itemization of the total exp</w:t>
      </w:r>
      <w:r>
        <w:rPr>
          <w:rFonts w:ascii="Times New Roman" w:cs="Times New Roman" w:eastAsia="Times New Roman" w:hAnsi="Times New Roman"/>
          <w:sz w:val="18"/>
          <w:szCs w:val="18"/>
          <w:color w:val="2F2D2D"/>
        </w:rPr>
        <w:t>e</w:t>
      </w:r>
      <w:r>
        <w:rPr>
          <w:rFonts w:ascii="Times New Roman" w:cs="Times New Roman" w:eastAsia="Times New Roman" w:hAnsi="Times New Roman"/>
          <w:sz w:val="18"/>
          <w:szCs w:val="18"/>
          <w:color w:val="131313"/>
        </w:rPr>
        <w:t>nses that are expected to be incurred by us in connection with the offering</w:t>
      </w:r>
      <w:r>
        <w:rPr>
          <w:rFonts w:ascii="Times New Roman" w:cs="Times New Roman" w:eastAsia="Times New Roman" w:hAnsi="Times New Roman"/>
          <w:sz w:val="18"/>
          <w:szCs w:val="18"/>
          <w:color w:val="2F2D2D"/>
        </w:rPr>
        <w:t>.</w:t>
      </w:r>
      <w:r>
        <w:rPr>
          <w:rFonts w:ascii="Times New Roman" w:cs="Times New Roman" w:eastAsia="Times New Roman" w:hAnsi="Times New Roman"/>
          <w:sz w:val="18"/>
          <w:szCs w:val="18"/>
          <w:color w:val="131313"/>
        </w:rPr>
        <w:t xml:space="preserve"> We </w:t>
      </w:r>
      <w:r>
        <w:rPr>
          <w:rFonts w:ascii="Times New Roman" w:cs="Times New Roman" w:eastAsia="Times New Roman" w:hAnsi="Times New Roman"/>
          <w:sz w:val="18"/>
          <w:szCs w:val="18"/>
          <w:color w:val="111111"/>
        </w:rPr>
        <w:t>will pay the fees and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111111"/>
        </w:rPr>
        <w:t xml:space="preserve">expenses associated with the sale of Ordinary Shares pursuant to this prospectus, other than </w:t>
      </w:r>
      <w:r>
        <w:rPr>
          <w:rFonts w:ascii="Times New Roman" w:cs="Times New Roman" w:eastAsia="Times New Roman" w:hAnsi="Times New Roman"/>
          <w:sz w:val="18"/>
          <w:szCs w:val="18"/>
          <w:color w:val="131313"/>
        </w:rPr>
        <w:t>underwriting discounts and commissions and any transfer taxes</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131313"/>
        </w:rPr>
        <w:t>and expenses incurred by the Selling Securityholder in connection with the sale of its Ordinary Shares further to any registration</w:t>
      </w:r>
      <w:r>
        <w:rPr>
          <w:rFonts w:ascii="Times New Roman" w:cs="Times New Roman" w:eastAsia="Times New Roman" w:hAnsi="Times New Roman"/>
          <w:sz w:val="18"/>
          <w:szCs w:val="18"/>
          <w:color w:val="111111"/>
        </w:rPr>
        <w:t>.</w:t>
      </w:r>
      <w:r>
        <w:rPr>
          <w:rFonts w:ascii="Times New Roman" w:cs="Times New Roman" w:eastAsia="Times New Roman" w:hAnsi="Times New Roman"/>
          <w:sz w:val="18"/>
          <w:szCs w:val="18"/>
          <w:color w:val="131313"/>
        </w:rPr>
        <w:t xml:space="preserve"> With the exception of the SEC registration fee</w:t>
      </w:r>
      <w:r>
        <w:rPr>
          <w:rFonts w:ascii="Times New Roman" w:cs="Times New Roman" w:eastAsia="Times New Roman" w:hAnsi="Times New Roman"/>
          <w:sz w:val="18"/>
          <w:szCs w:val="18"/>
          <w:color w:val="2F2D2D"/>
        </w:rPr>
        <w:t>,</w:t>
      </w:r>
      <w:r>
        <w:rPr>
          <w:rFonts w:ascii="Times New Roman" w:cs="Times New Roman" w:eastAsia="Times New Roman" w:hAnsi="Times New Roman"/>
          <w:sz w:val="18"/>
          <w:szCs w:val="18"/>
          <w:color w:val="131313"/>
        </w:rPr>
        <w:t xml:space="preserve"> all amounts are estimates.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2F2D2D"/>
              </w:rPr>
              <w:t>$</w:t>
            </w:r>
          </w:p>
        </w:tc>
        <w:tc>
          <w:tcPr>
            <w:tcW w:w="100" w:type="dxa"/>
            <w:vAlign w:val="bottom"/>
            <w:tcBorders>
              <w:bottom w:val="single" w:sz="8" w:color="auto"/>
            </w:tcBorders>
          </w:tcPr>
          <w:p>
            <w:pPr>
              <w:spacing w:after="0"/>
              <w:rPr>
                <w:sz w:val="20"/>
                <w:szCs w:val="20"/>
                <w:color w:val="auto"/>
              </w:rPr>
            </w:pPr>
          </w:p>
        </w:tc>
      </w:tr>
      <w:tr>
        <w:trPr>
          <w:trHeight w:val="216"/>
        </w:trPr>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2F2D2D"/>
              </w:rPr>
              <w:t>SEC Registration Fee</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F2D2D"/>
              </w:rPr>
              <w:t>109,228.94</w:t>
            </w:r>
          </w:p>
        </w:tc>
      </w:tr>
      <w:tr>
        <w:trPr>
          <w:trHeight w:val="216"/>
        </w:trPr>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2F2D2D"/>
              </w:rPr>
              <w:t>Legal Fees and Expenses</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F2D2D"/>
              </w:rPr>
              <w:t>30,000</w:t>
            </w:r>
          </w:p>
        </w:tc>
      </w:tr>
      <w:tr>
        <w:trPr>
          <w:trHeight w:val="216"/>
        </w:trPr>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2F2D2D"/>
              </w:rPr>
              <w:t>Accounting Fees and Expenses</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F2D2D"/>
              </w:rPr>
              <w:t>10,000</w:t>
            </w:r>
          </w:p>
        </w:tc>
      </w:tr>
      <w:tr>
        <w:trPr>
          <w:trHeight w:val="230"/>
        </w:trPr>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2F2D2D"/>
              </w:rPr>
              <w:t>Miscellaneous Expenses</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90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2F2D2D"/>
              </w:rPr>
              <w:t>To</w:t>
            </w:r>
            <w:r>
              <w:rPr>
                <w:rFonts w:ascii="Times New Roman" w:cs="Times New Roman" w:eastAsia="Times New Roman" w:hAnsi="Times New Roman"/>
                <w:sz w:val="18"/>
                <w:szCs w:val="18"/>
                <w:b w:val="1"/>
                <w:bCs w:val="1"/>
                <w:color w:val="131313"/>
              </w:rPr>
              <w:t>t</w:t>
            </w:r>
            <w:r>
              <w:rPr>
                <w:rFonts w:ascii="Times New Roman" w:cs="Times New Roman" w:eastAsia="Times New Roman" w:hAnsi="Times New Roman"/>
                <w:sz w:val="18"/>
                <w:szCs w:val="18"/>
                <w:b w:val="1"/>
                <w:bCs w:val="1"/>
                <w:color w:val="2F2D2D"/>
              </w:rPr>
              <w:t>a</w:t>
            </w:r>
            <w:r>
              <w:rPr>
                <w:rFonts w:ascii="Times New Roman" w:cs="Times New Roman" w:eastAsia="Times New Roman" w:hAnsi="Times New Roman"/>
                <w:sz w:val="18"/>
                <w:szCs w:val="18"/>
                <w:b w:val="1"/>
                <w:bCs w:val="1"/>
                <w:color w:val="131313"/>
              </w:rPr>
              <w:t>l</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LEGAL MATTERS</w:t>
      </w:r>
    </w:p>
    <w:p>
      <w:pPr>
        <w:spacing w:after="0" w:line="216" w:lineRule="exact"/>
        <w:rPr>
          <w:sz w:val="20"/>
          <w:szCs w:val="20"/>
          <w:color w:val="auto"/>
        </w:rPr>
      </w:pPr>
    </w:p>
    <w:p>
      <w:pPr>
        <w:ind w:firstLine="382"/>
        <w:spacing w:after="0" w:line="282" w:lineRule="auto"/>
        <w:rPr>
          <w:sz w:val="20"/>
          <w:szCs w:val="20"/>
          <w:color w:val="auto"/>
        </w:rPr>
      </w:pPr>
      <w:r>
        <w:rPr>
          <w:rFonts w:ascii="Times New Roman" w:cs="Times New Roman" w:eastAsia="Times New Roman" w:hAnsi="Times New Roman"/>
          <w:sz w:val="18"/>
          <w:szCs w:val="18"/>
          <w:color w:val="131313"/>
        </w:rPr>
        <w:t>The validity of the Ordinary Shares offered by this prospectus has been passed upon by NautaDutilh N.V., Beethovenstraat 400, 1082 PR Amsterdam, The Netherlands, Dutch counsel to the Company.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6" w:name="page37"/>
    <w:bookmarkEnd w:id="36"/>
    <w:p>
      <w:pPr>
        <w:jc w:val="right"/>
        <w:ind w:right="2779"/>
        <w:spacing w:after="0"/>
        <w:rPr>
          <w:sz w:val="20"/>
          <w:szCs w:val="20"/>
          <w:color w:val="auto"/>
        </w:rPr>
      </w:pPr>
      <w:r>
        <w:rPr>
          <w:rFonts w:ascii="Times New Roman" w:cs="Times New Roman" w:eastAsia="Times New Roman" w:hAnsi="Times New Roman"/>
          <w:sz w:val="18"/>
          <w:szCs w:val="18"/>
          <w:b w:val="1"/>
          <w:bCs w:val="1"/>
          <w:color w:val="131313"/>
        </w:rPr>
        <w:t>INTERESTS OF EXPERTS AND COUNSEL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39"/>
          </w:cols>
          <w:pgMar w:left="720" w:top="684"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EXPERTS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131313"/>
        </w:rPr>
        <w:t>The consolidated financial statements of STMicroelectronics N.V. appearing in STMicroelectronics N.V.'s Annual Report (Form 20-F) for the year ended December 31, 2025, and the effectiveness of STMicroelectronics N.V.'s internal control over financial reporting as of December 31, 2025 have been audited by Ernst &amp; Young AG,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131313"/>
        </w:rPr>
        <w:t>ENFORCEMENT OF CIVIL LIABILITIES</w:t>
      </w:r>
    </w:p>
    <w:p>
      <w:pPr>
        <w:spacing w:after="0" w:line="21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131313"/>
        </w:rPr>
        <w:t>We are organized and existing under the laws of The Netherlands. As such, under Dutch private international law, the rights and obligations of our shareholders vis-à-vis the Company originating from Dutch corporate law and our Articles, as well as the civil liability of our officers (</w:t>
      </w:r>
      <w:r>
        <w:rPr>
          <w:rFonts w:ascii="Times New Roman" w:cs="Times New Roman" w:eastAsia="Times New Roman" w:hAnsi="Times New Roman"/>
          <w:sz w:val="18"/>
          <w:szCs w:val="18"/>
          <w:i w:val="1"/>
          <w:iCs w:val="1"/>
          <w:color w:val="131313"/>
        </w:rPr>
        <w:t>functionarissen</w:t>
      </w:r>
      <w:r>
        <w:rPr>
          <w:rFonts w:ascii="Times New Roman" w:cs="Times New Roman" w:eastAsia="Times New Roman" w:hAnsi="Times New Roman"/>
          <w:sz w:val="18"/>
          <w:szCs w:val="18"/>
          <w:color w:val="131313"/>
        </w:rPr>
        <w:t>) (including our directors and executive officers) are governed in certain respects by the laws of The Netherlands.</w:t>
      </w:r>
    </w:p>
    <w:p>
      <w:pPr>
        <w:spacing w:after="0" w:line="169" w:lineRule="exact"/>
        <w:rPr>
          <w:sz w:val="20"/>
          <w:szCs w:val="20"/>
          <w:color w:val="auto"/>
        </w:rPr>
      </w:pPr>
    </w:p>
    <w:p>
      <w:pPr>
        <w:jc w:val="both"/>
        <w:ind w:firstLine="559"/>
        <w:spacing w:after="0" w:line="250" w:lineRule="auto"/>
        <w:rPr>
          <w:sz w:val="20"/>
          <w:szCs w:val="20"/>
          <w:color w:val="auto"/>
        </w:rPr>
      </w:pPr>
      <w:r>
        <w:rPr>
          <w:rFonts w:ascii="Times New Roman" w:cs="Times New Roman" w:eastAsia="Times New Roman" w:hAnsi="Times New Roman"/>
          <w:sz w:val="18"/>
          <w:szCs w:val="18"/>
          <w:color w:val="131313"/>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91" w:lineRule="exact"/>
        <w:rPr>
          <w:sz w:val="20"/>
          <w:szCs w:val="20"/>
          <w:color w:val="auto"/>
        </w:rPr>
      </w:pPr>
    </w:p>
    <w:p>
      <w:pPr>
        <w:jc w:val="both"/>
        <w:ind w:firstLine="550"/>
        <w:spacing w:after="0" w:line="266" w:lineRule="auto"/>
        <w:rPr>
          <w:sz w:val="20"/>
          <w:szCs w:val="20"/>
          <w:color w:val="auto"/>
        </w:rPr>
      </w:pPr>
      <w:r>
        <w:rPr>
          <w:rFonts w:ascii="Times New Roman" w:cs="Times New Roman" w:eastAsia="Times New Roman" w:hAnsi="Times New Roman"/>
          <w:sz w:val="18"/>
          <w:szCs w:val="18"/>
          <w:color w:val="131313"/>
        </w:rPr>
        <w:t>Also, service of process against non-residents of the United States can in principle (absent, for example, a valid choice of domicile) not be effected in the United States.</w:t>
      </w:r>
    </w:p>
    <w:p>
      <w:pPr>
        <w:spacing w:after="0" w:line="162" w:lineRule="exact"/>
        <w:rPr>
          <w:sz w:val="20"/>
          <w:szCs w:val="20"/>
          <w:color w:val="auto"/>
        </w:rPr>
      </w:pPr>
    </w:p>
    <w:p>
      <w:pPr>
        <w:jc w:val="both"/>
        <w:ind w:firstLine="558"/>
        <w:spacing w:after="0" w:line="242" w:lineRule="auto"/>
        <w:rPr>
          <w:sz w:val="20"/>
          <w:szCs w:val="20"/>
          <w:color w:val="auto"/>
        </w:rPr>
      </w:pPr>
      <w:r>
        <w:rPr>
          <w:rFonts w:ascii="Times New Roman" w:cs="Times New Roman" w:eastAsia="Times New Roman" w:hAnsi="Times New Roman"/>
          <w:sz w:val="18"/>
          <w:szCs w:val="18"/>
          <w:color w:val="131313"/>
        </w:rPr>
        <w:t>Furthermore, a substantial amount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131313"/>
        </w:rPr>
        <w:t>behoorlijke rechtspleging</w:t>
      </w:r>
      <w:r>
        <w:rPr>
          <w:rFonts w:ascii="Times New Roman" w:cs="Times New Roman" w:eastAsia="Times New Roman" w:hAnsi="Times New Roman"/>
          <w:sz w:val="18"/>
          <w:szCs w:val="18"/>
          <w:color w:val="131313"/>
        </w:rPr>
        <w:t>), (iii) binding effect of such United States judgment is not contrary to Dutch public order (</w:t>
      </w:r>
      <w:r>
        <w:rPr>
          <w:rFonts w:ascii="Times New Roman" w:cs="Times New Roman" w:eastAsia="Times New Roman" w:hAnsi="Times New Roman"/>
          <w:sz w:val="18"/>
          <w:szCs w:val="18"/>
          <w:i w:val="1"/>
          <w:iCs w:val="1"/>
          <w:color w:val="131313"/>
        </w:rPr>
        <w:t>openbare orde</w:t>
      </w:r>
      <w:r>
        <w:rPr>
          <w:rFonts w:ascii="Times New Roman" w:cs="Times New Roman" w:eastAsia="Times New Roman" w:hAnsi="Times New Roman"/>
          <w:sz w:val="18"/>
          <w:szCs w:val="18"/>
          <w:color w:val="131313"/>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98" w:lineRule="exact"/>
        <w:rPr>
          <w:sz w:val="20"/>
          <w:szCs w:val="20"/>
          <w:color w:val="auto"/>
        </w:rPr>
      </w:pPr>
    </w:p>
    <w:p>
      <w:pPr>
        <w:jc w:val="both"/>
        <w:ind w:firstLine="548"/>
        <w:spacing w:after="0" w:line="246" w:lineRule="auto"/>
        <w:rPr>
          <w:sz w:val="20"/>
          <w:szCs w:val="20"/>
          <w:color w:val="auto"/>
        </w:rPr>
      </w:pPr>
      <w:r>
        <w:rPr>
          <w:rFonts w:ascii="Times New Roman" w:cs="Times New Roman" w:eastAsia="Times New Roman" w:hAnsi="Times New Roman"/>
          <w:sz w:val="18"/>
          <w:szCs w:val="18"/>
          <w:color w:val="131313"/>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to enforce, or may experience difficulty in enforcing, a judgment obtained in a United States court against us or our officers.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WHERE YOU CAN FIND MORE INFORMATION</w:t>
      </w:r>
    </w:p>
    <w:p>
      <w:pPr>
        <w:spacing w:after="0" w:line="21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31313"/>
        </w:rPr>
        <w:t>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www.sec</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131313"/>
        </w:rPr>
        <w:t>gov</w:t>
      </w:r>
      <w:r>
        <w:rPr>
          <w:rFonts w:ascii="Times New Roman" w:cs="Times New Roman" w:eastAsia="Times New Roman" w:hAnsi="Times New Roman"/>
          <w:sz w:val="18"/>
          <w:szCs w:val="18"/>
          <w:color w:val="2F2F2F"/>
        </w:rPr>
        <w:t>.</w:t>
      </w:r>
    </w:p>
    <w:p>
      <w:pPr>
        <w:spacing w:after="0" w:line="169"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This prospectus,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more detail about us and the securities that may be offered by this prospectus, you may examine the registration statement on Form F-3 and the exhibits filed with it at the website provided in the previous paragraph.</w:t>
      </w:r>
    </w:p>
    <w:p>
      <w:pPr>
        <w:spacing w:after="0" w:line="191"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 xml:space="preserve">We also maintain a website at </w:t>
      </w:r>
      <w:r>
        <w:rPr>
          <w:rFonts w:ascii="Times New Roman" w:cs="Times New Roman" w:eastAsia="Times New Roman" w:hAnsi="Times New Roman"/>
          <w:sz w:val="18"/>
          <w:szCs w:val="18"/>
          <w:color w:val="000000"/>
        </w:rPr>
        <w:t>https://www.st.com. We will make available, free of charge, the following documents as soon as reasonably practicable</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000000"/>
        </w:rPr>
        <w:t>after they are electronically filed with, or furnished to, the SEC: our annual reports on Form 20-F; our reports on Form 6-K; amendments to these documents; and other information as may be required by the SEC</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31313"/>
        </w:rPr>
        <w:t>The information contained on, or that may be accessed through, our website is not part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31313"/>
        </w:rPr>
        <w:t>of, and is not incorporated into, this prospectus.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131313"/>
        </w:rPr>
        <w:t>INCORPORATION OF CERTAIN DOCUMENTS BY REFERENCE</w:t>
      </w:r>
    </w:p>
    <w:p>
      <w:pPr>
        <w:spacing w:after="0" w:line="229" w:lineRule="exact"/>
        <w:rPr>
          <w:sz w:val="20"/>
          <w:szCs w:val="20"/>
          <w:color w:val="auto"/>
        </w:rPr>
      </w:pPr>
    </w:p>
    <w:p>
      <w:pPr>
        <w:jc w:val="both"/>
        <w:ind w:firstLine="382"/>
        <w:spacing w:after="0" w:line="242" w:lineRule="auto"/>
        <w:rPr>
          <w:sz w:val="20"/>
          <w:szCs w:val="20"/>
          <w:color w:val="auto"/>
        </w:rPr>
      </w:pPr>
      <w:r>
        <w:rPr>
          <w:rFonts w:ascii="Times New Roman" w:cs="Times New Roman" w:eastAsia="Times New Roman" w:hAnsi="Times New Roman"/>
          <w:sz w:val="18"/>
          <w:szCs w:val="18"/>
          <w:color w:val="131313"/>
        </w:rPr>
        <w:t>The SEC allows us to incorporate by reference in this prospectus the information we file with it</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which means that we can disclose important information to you by referring you to those documents. The information incorporated by reference is considered to be part of this prospectus. Any statement made in this pro</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pectus or in a document incorporated or deemed to be incorporated by reference in this prospectus will be deemed to be modified or superseded for purposes of this prospectu</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 xml:space="preserve"> to the extent that a </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tatement contained in this prospectus, the accompanying prospectus supplement, if applicable</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or in any other subsequently filed </w:t>
      </w:r>
      <w:r>
        <w:rPr>
          <w:rFonts w:ascii="Times New Roman" w:cs="Times New Roman" w:eastAsia="Times New Roman" w:hAnsi="Times New Roman"/>
          <w:sz w:val="18"/>
          <w:szCs w:val="18"/>
          <w:color w:val="030303"/>
        </w:rPr>
        <w:t>document</w:t>
      </w:r>
      <w:r>
        <w:rPr>
          <w:rFonts w:ascii="Times New Roman" w:cs="Times New Roman" w:eastAsia="Times New Roman" w:hAnsi="Times New Roman"/>
          <w:sz w:val="18"/>
          <w:szCs w:val="18"/>
          <w:color w:val="131313"/>
        </w:rPr>
        <w:t xml:space="preserve"> that is also incorporated or deemed to be incorporated by reference in this prospectus modifies or supersedes that statement. Any statement so modified or superseded will not be deemed</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except as so modified or superseded</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to constitute a part of this prospectus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Therefore, before you decide to invest in a particular offering under this shelf registration statement</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you should always check for reports we may have filed with the SEC after the date of this prospectus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We incorporate by reference in this prospectus the following information:</w:t>
      </w:r>
    </w:p>
    <w:p>
      <w:pPr>
        <w:spacing w:after="0" w:line="201" w:lineRule="exact"/>
        <w:rPr>
          <w:sz w:val="20"/>
          <w:szCs w:val="20"/>
          <w:color w:val="auto"/>
        </w:rPr>
      </w:pPr>
    </w:p>
    <w:p>
      <w:pPr>
        <w:ind w:left="960" w:hanging="570"/>
        <w:spacing w:after="0"/>
        <w:tabs>
          <w:tab w:leader="none" w:pos="960" w:val="left"/>
        </w:tabs>
        <w:numPr>
          <w:ilvl w:val="0"/>
          <w:numId w:val="21"/>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our annual report on Form 20-F for the fiscal year ended December 31, 2025, filed with the SEC on February 26, 2026.</w:t>
      </w:r>
    </w:p>
    <w:p>
      <w:pPr>
        <w:spacing w:after="0" w:line="239"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8"/>
          <w:szCs w:val="18"/>
          <w:color w:val="131313"/>
        </w:rPr>
        <w:t xml:space="preserve">All subsequent annual reports on Form 20-F that we file with the SEC prior to the completion or termination of this offering shall be deemed to be </w:t>
      </w:r>
      <w:r>
        <w:rPr>
          <w:rFonts w:ascii="Times New Roman" w:cs="Times New Roman" w:eastAsia="Times New Roman" w:hAnsi="Times New Roman"/>
          <w:sz w:val="18"/>
          <w:szCs w:val="18"/>
          <w:color w:val="030303"/>
        </w:rPr>
        <w:t xml:space="preserve">incorporated </w:t>
      </w:r>
      <w:r>
        <w:rPr>
          <w:rFonts w:ascii="Times New Roman" w:cs="Times New Roman" w:eastAsia="Times New Roman" w:hAnsi="Times New Roman"/>
          <w:sz w:val="18"/>
          <w:szCs w:val="18"/>
          <w:color w:val="131313"/>
        </w:rPr>
        <w:t>by reference to this prospectus and to be a part hereof from the date of filing of such documents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131313"/>
        </w:rPr>
        <w:t>We may also incorporate by reference part or</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131313"/>
        </w:rPr>
        <w:t>all of any reports on Form 6-K that we subsequently furnish to the S</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 xml:space="preserve">C prior to the completion or termination of this offering </w:t>
      </w:r>
      <w:r>
        <w:rPr>
          <w:rFonts w:ascii="Times New Roman" w:cs="Times New Roman" w:eastAsia="Times New Roman" w:hAnsi="Times New Roman"/>
          <w:sz w:val="18"/>
          <w:szCs w:val="18"/>
          <w:color w:val="030303"/>
        </w:rPr>
        <w:t>by</w:t>
      </w:r>
      <w:r>
        <w:rPr>
          <w:rFonts w:ascii="Times New Roman" w:cs="Times New Roman" w:eastAsia="Times New Roman" w:hAnsi="Times New Roman"/>
          <w:sz w:val="18"/>
          <w:szCs w:val="18"/>
          <w:color w:val="131313"/>
        </w:rPr>
        <w:t xml:space="preserve"> identifying in such Forms 6-K that they</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or certain parts of their contents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are as being incorporated by reference into this prospectus and any Forms 6-K so identified shall be deemed to be incorporated by reference in this prospectus and to be a part of this prospectus from the date of submission of such documents. Any statement contained in a document incorporated or deemed to be incorporated </w:t>
      </w:r>
      <w:r>
        <w:rPr>
          <w:rFonts w:ascii="Times New Roman" w:cs="Times New Roman" w:eastAsia="Times New Roman" w:hAnsi="Times New Roman"/>
          <w:sz w:val="18"/>
          <w:szCs w:val="18"/>
          <w:color w:val="332F2F"/>
        </w:rPr>
        <w:t>by reference herein shall be deemed</w:t>
      </w:r>
      <w:r>
        <w:rPr>
          <w:rFonts w:ascii="Times New Roman" w:cs="Times New Roman" w:eastAsia="Times New Roman" w:hAnsi="Times New Roman"/>
          <w:sz w:val="18"/>
          <w:szCs w:val="18"/>
          <w:color w:val="131313"/>
        </w:rPr>
        <w:t xml:space="preserve"> t</w:t>
      </w:r>
      <w:r>
        <w:rPr>
          <w:rFonts w:ascii="Times New Roman" w:cs="Times New Roman" w:eastAsia="Times New Roman" w:hAnsi="Times New Roman"/>
          <w:sz w:val="18"/>
          <w:szCs w:val="18"/>
          <w:color w:val="332F2F"/>
        </w:rPr>
        <w:t>o be modified or s</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perseded for purposes of this</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332F2F"/>
        </w:rPr>
        <w:t>prospectus to the extent that a statemen</w:t>
      </w:r>
      <w:r>
        <w:rPr>
          <w:rFonts w:ascii="Times New Roman" w:cs="Times New Roman" w:eastAsia="Times New Roman" w:hAnsi="Times New Roman"/>
          <w:sz w:val="18"/>
          <w:szCs w:val="18"/>
          <w:color w:val="131313"/>
        </w:rPr>
        <w:t>t</w:t>
      </w:r>
      <w:r>
        <w:rPr>
          <w:rFonts w:ascii="Times New Roman" w:cs="Times New Roman" w:eastAsia="Times New Roman" w:hAnsi="Times New Roman"/>
          <w:sz w:val="18"/>
          <w:szCs w:val="18"/>
          <w:color w:val="332F2F"/>
        </w:rPr>
        <w:t xml:space="preserve"> contained herein or in any ot</w:t>
      </w:r>
      <w:r>
        <w:rPr>
          <w:rFonts w:ascii="Times New Roman" w:cs="Times New Roman" w:eastAsia="Times New Roman" w:hAnsi="Times New Roman"/>
          <w:sz w:val="18"/>
          <w:szCs w:val="18"/>
          <w:color w:val="131313"/>
        </w:rPr>
        <w:t>h</w:t>
      </w:r>
      <w:r>
        <w:rPr>
          <w:rFonts w:ascii="Times New Roman" w:cs="Times New Roman" w:eastAsia="Times New Roman" w:hAnsi="Times New Roman"/>
          <w:sz w:val="18"/>
          <w:szCs w:val="18"/>
          <w:color w:val="332F2F"/>
        </w:rPr>
        <w:t>er s</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bseq</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ently filed document whic</w:t>
      </w:r>
      <w:r>
        <w:rPr>
          <w:rFonts w:ascii="Times New Roman" w:cs="Times New Roman" w:eastAsia="Times New Roman" w:hAnsi="Times New Roman"/>
          <w:sz w:val="18"/>
          <w:szCs w:val="18"/>
          <w:color w:val="131313"/>
        </w:rPr>
        <w:t>h</w:t>
      </w:r>
      <w:r>
        <w:rPr>
          <w:rFonts w:ascii="Times New Roman" w:cs="Times New Roman" w:eastAsia="Times New Roman" w:hAnsi="Times New Roman"/>
          <w:sz w:val="18"/>
          <w:szCs w:val="18"/>
          <w:color w:val="332F2F"/>
        </w:rPr>
        <w:t xml:space="preserve"> a</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32F2F"/>
        </w:rPr>
        <w:t>so is incorporated or deemed to be incorporated by reference herein modifies or s</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persedes s</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ch statement. Any s</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ch statement so modified or su</w:t>
      </w:r>
      <w:r>
        <w:rPr>
          <w:rFonts w:ascii="Times New Roman" w:cs="Times New Roman" w:eastAsia="Times New Roman" w:hAnsi="Times New Roman"/>
          <w:sz w:val="18"/>
          <w:szCs w:val="18"/>
          <w:color w:val="131313"/>
        </w:rPr>
        <w:t>p</w:t>
      </w:r>
      <w:r>
        <w:rPr>
          <w:rFonts w:ascii="Times New Roman" w:cs="Times New Roman" w:eastAsia="Times New Roman" w:hAnsi="Times New Roman"/>
          <w:sz w:val="18"/>
          <w:szCs w:val="18"/>
          <w:color w:val="332F2F"/>
        </w:rPr>
        <w:t>erseded shall not be deemed, except as so modified or superseded</w:t>
      </w:r>
      <w:r>
        <w:rPr>
          <w:rFonts w:ascii="Times New Roman" w:cs="Times New Roman" w:eastAsia="Times New Roman" w:hAnsi="Times New Roman"/>
          <w:sz w:val="18"/>
          <w:szCs w:val="18"/>
          <w:color w:val="4F4D4D"/>
        </w:rPr>
        <w:t>,</w:t>
      </w:r>
      <w:r>
        <w:rPr>
          <w:rFonts w:ascii="Times New Roman" w:cs="Times New Roman" w:eastAsia="Times New Roman" w:hAnsi="Times New Roman"/>
          <w:sz w:val="18"/>
          <w:szCs w:val="18"/>
          <w:color w:val="332F2F"/>
        </w:rPr>
        <w:t xml:space="preserve"> to const</w:t>
      </w:r>
      <w:r>
        <w:rPr>
          <w:rFonts w:ascii="Times New Roman" w:cs="Times New Roman" w:eastAsia="Times New Roman" w:hAnsi="Times New Roman"/>
          <w:sz w:val="18"/>
          <w:szCs w:val="18"/>
          <w:color w:val="131313"/>
        </w:rPr>
        <w:t>i</w:t>
      </w:r>
      <w:r>
        <w:rPr>
          <w:rFonts w:ascii="Times New Roman" w:cs="Times New Roman" w:eastAsia="Times New Roman" w:hAnsi="Times New Roman"/>
          <w:sz w:val="18"/>
          <w:szCs w:val="18"/>
          <w:color w:val="332F2F"/>
        </w:rPr>
        <w:t>tute a part of this prospect</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s.</w:t>
      </w:r>
    </w:p>
    <w:p>
      <w:pPr>
        <w:spacing w:after="0" w:line="185" w:lineRule="exact"/>
        <w:rPr>
          <w:sz w:val="20"/>
          <w:szCs w:val="20"/>
          <w:color w:val="auto"/>
        </w:rPr>
      </w:pPr>
    </w:p>
    <w:p>
      <w:pPr>
        <w:jc w:val="both"/>
        <w:ind w:right="20" w:firstLine="382"/>
        <w:spacing w:after="0" w:line="282" w:lineRule="auto"/>
        <w:rPr>
          <w:sz w:val="20"/>
          <w:szCs w:val="20"/>
          <w:color w:val="auto"/>
        </w:rPr>
      </w:pPr>
      <w:r>
        <w:rPr>
          <w:rFonts w:ascii="Times New Roman" w:cs="Times New Roman" w:eastAsia="Times New Roman" w:hAnsi="Times New Roman"/>
          <w:sz w:val="18"/>
          <w:szCs w:val="18"/>
          <w:color w:val="131313"/>
        </w:rPr>
        <w:t>The information we incorporate by reference is an important part of this prospectus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and later information that we file with the SEC will automatically update and super</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ede the information contained in this pro</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pectus</w:t>
      </w:r>
      <w:r>
        <w:rPr>
          <w:rFonts w:ascii="Times New Roman" w:cs="Times New Roman" w:eastAsia="Times New Roman" w:hAnsi="Times New Roman"/>
          <w:sz w:val="18"/>
          <w:szCs w:val="18"/>
          <w:color w:val="332F2F"/>
        </w:rPr>
        <w:t>.</w:t>
      </w:r>
    </w:p>
    <w:p>
      <w:pPr>
        <w:spacing w:after="0" w:line="148" w:lineRule="exact"/>
        <w:rPr>
          <w:sz w:val="20"/>
          <w:szCs w:val="20"/>
          <w:color w:val="auto"/>
        </w:rPr>
      </w:pPr>
    </w:p>
    <w:p>
      <w:pPr>
        <w:jc w:val="both"/>
        <w:ind w:right="20" w:firstLine="382"/>
        <w:spacing w:after="0" w:line="266" w:lineRule="auto"/>
        <w:rPr>
          <w:sz w:val="20"/>
          <w:szCs w:val="20"/>
          <w:color w:val="auto"/>
        </w:rPr>
      </w:pPr>
      <w:r>
        <w:rPr>
          <w:rFonts w:ascii="Times New Roman" w:cs="Times New Roman" w:eastAsia="Times New Roman" w:hAnsi="Times New Roman"/>
          <w:sz w:val="18"/>
          <w:szCs w:val="18"/>
          <w:color w:val="131313"/>
        </w:rPr>
        <w:t>You should not assume that the information in this prospectus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any prospectus supplement or any document incorporated by reference is accurate or complete at any date other than the date mentioned on the cover page of those documents or otherwise specified therein.</w:t>
      </w:r>
    </w:p>
    <w:p>
      <w:pPr>
        <w:spacing w:after="0" w:line="176"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 xml:space="preserve">We file reports, including annual reports on Form 20-F and </w:t>
      </w:r>
      <w:r>
        <w:rPr>
          <w:rFonts w:ascii="Times New Roman" w:cs="Times New Roman" w:eastAsia="Times New Roman" w:hAnsi="Times New Roman"/>
          <w:sz w:val="18"/>
          <w:szCs w:val="18"/>
          <w:color w:val="030303"/>
        </w:rPr>
        <w:t>reports</w:t>
      </w:r>
      <w:r>
        <w:rPr>
          <w:rFonts w:ascii="Times New Roman" w:cs="Times New Roman" w:eastAsia="Times New Roman" w:hAnsi="Times New Roman"/>
          <w:sz w:val="18"/>
          <w:szCs w:val="18"/>
          <w:color w:val="131313"/>
        </w:rPr>
        <w:t xml:space="preserve"> on Form 6-K, with the SEC pursuant to the rules and regulations of the SEC that apply to foreign private issuers. You can read our SEC filings, including the registration statement</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over the internet at the SEC's website at www</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sec.gov and at our website at </w:t>
      </w:r>
      <w:r>
        <w:rPr>
          <w:rFonts w:ascii="Times New Roman" w:cs="Times New Roman" w:eastAsia="Times New Roman" w:hAnsi="Times New Roman"/>
          <w:sz w:val="18"/>
          <w:szCs w:val="18"/>
          <w:color w:val="000000"/>
        </w:rPr>
        <w:t>https://www.st.com/content/st_com/en.html.</w:t>
      </w:r>
      <w:r>
        <w:rPr>
          <w:rFonts w:ascii="Times New Roman" w:cs="Times New Roman" w:eastAsia="Times New Roman" w:hAnsi="Times New Roman"/>
          <w:sz w:val="18"/>
          <w:szCs w:val="18"/>
          <w:color w:val="131313"/>
        </w:rPr>
        <w:t xml:space="preserve"> We do not incorporate the information contained on, or accessible through, the Company's websites into this prospectus, and you should not consider it as a part of this prospectus.</w:t>
      </w:r>
    </w:p>
    <w:p>
      <w:pPr>
        <w:spacing w:after="0" w:line="177" w:lineRule="exact"/>
        <w:rPr>
          <w:sz w:val="20"/>
          <w:szCs w:val="20"/>
          <w:color w:val="auto"/>
        </w:rPr>
      </w:pPr>
    </w:p>
    <w:p>
      <w:pPr>
        <w:jc w:val="both"/>
        <w:ind w:right="20" w:firstLine="382"/>
        <w:spacing w:after="0" w:line="258" w:lineRule="auto"/>
        <w:rPr>
          <w:sz w:val="20"/>
          <w:szCs w:val="20"/>
          <w:color w:val="auto"/>
        </w:rPr>
      </w:pPr>
      <w:r>
        <w:rPr>
          <w:rFonts w:ascii="Times New Roman" w:cs="Times New Roman" w:eastAsia="Times New Roman" w:hAnsi="Times New Roman"/>
          <w:sz w:val="18"/>
          <w:szCs w:val="18"/>
          <w:color w:val="131313"/>
        </w:rPr>
        <w:t xml:space="preserve">You may request a copy of any and all of the information that </w:t>
      </w:r>
      <w:r>
        <w:rPr>
          <w:rFonts w:ascii="Times New Roman" w:cs="Times New Roman" w:eastAsia="Times New Roman" w:hAnsi="Times New Roman"/>
          <w:sz w:val="18"/>
          <w:szCs w:val="18"/>
          <w:color w:val="030303"/>
        </w:rPr>
        <w:t>has</w:t>
      </w:r>
      <w:r>
        <w:rPr>
          <w:rFonts w:ascii="Times New Roman" w:cs="Times New Roman" w:eastAsia="Times New Roman" w:hAnsi="Times New Roman"/>
          <w:sz w:val="18"/>
          <w:szCs w:val="18"/>
          <w:color w:val="131313"/>
        </w:rPr>
        <w:t xml:space="preserve"> been incorporated by reference in this prospectus but not delivered with the prospectus, at no cost, upon written or oral request made to STMicroelectronics N.V., </w:t>
      </w:r>
      <w:r>
        <w:rPr>
          <w:rFonts w:ascii="Times New Roman" w:cs="Times New Roman" w:eastAsia="Times New Roman" w:hAnsi="Times New Roman"/>
          <w:sz w:val="18"/>
          <w:szCs w:val="18"/>
          <w:color w:val="111111"/>
        </w:rPr>
        <w:t>WTC Schiphol Airport, Schiphol Boulevard 265, 1118 BH Schiphol,</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color w:val="111111"/>
        </w:rPr>
        <w:t>The Netherlands</w:t>
      </w:r>
      <w:r>
        <w:rPr>
          <w:rFonts w:ascii="Times New Roman" w:cs="Times New Roman" w:eastAsia="Times New Roman" w:hAnsi="Times New Roman"/>
          <w:sz w:val="18"/>
          <w:szCs w:val="18"/>
          <w:color w:val="131313"/>
        </w:rPr>
        <w: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332F2F"/>
        </w:rPr>
        <w:t>Tel: +</w:t>
      </w:r>
      <w:r>
        <w:rPr>
          <w:rFonts w:ascii="Times New Roman" w:cs="Times New Roman" w:eastAsia="Times New Roman" w:hAnsi="Times New Roman"/>
          <w:sz w:val="18"/>
          <w:szCs w:val="18"/>
          <w:color w:val="111111"/>
        </w:rPr>
        <w:t xml:space="preserve"> 31-20-654-3210</w:t>
      </w:r>
      <w:r>
        <w:rPr>
          <w:rFonts w:ascii="Times New Roman" w:cs="Times New Roman" w:eastAsia="Times New Roman" w:hAnsi="Times New Roman"/>
          <w:sz w:val="18"/>
          <w:szCs w:val="18"/>
          <w:color w:val="332F2F"/>
        </w:rPr>
        <w:t>; Attention: Steven Rose, President, Legal Counsel and Public Affairs.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1" w:name="page42"/>
    <w:bookmarkEnd w:id="41"/>
    <w:p>
      <w:pPr>
        <w:ind w:left="3140"/>
        <w:spacing w:after="0"/>
        <w:rPr>
          <w:sz w:val="20"/>
          <w:szCs w:val="20"/>
          <w:color w:val="auto"/>
        </w:rPr>
      </w:pPr>
      <w:r>
        <w:rPr>
          <w:rFonts w:ascii="Times New Roman" w:cs="Times New Roman" w:eastAsia="Times New Roman" w:hAnsi="Times New Roman"/>
          <w:sz w:val="18"/>
          <w:szCs w:val="18"/>
          <w:b w:val="1"/>
          <w:bCs w:val="1"/>
          <w:color w:val="111111"/>
        </w:rPr>
        <w:t>PART II. INFORMATION NOT REQUIRED IN PROSPECTUS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8"/>
          <w:szCs w:val="18"/>
          <w:color w:val="auto"/>
        </w:rPr>
        <w:t>Under Dutch law, our Managing Board and certain other officers may be held liable for damages in the event of improper or negligent performance of their duties. They may be held jointly and severally liable for damages to our company and to third parties for infringement of the Articles or of certain provisions of the Dutch Civil Code.</w:t>
      </w:r>
    </w:p>
    <w:p>
      <w:pPr>
        <w:spacing w:after="0" w:line="190" w:lineRule="exact"/>
        <w:rPr>
          <w:sz w:val="20"/>
          <w:szCs w:val="20"/>
          <w:color w:val="auto"/>
        </w:rPr>
      </w:pPr>
    </w:p>
    <w:p>
      <w:pPr>
        <w:jc w:val="both"/>
        <w:ind w:firstLine="510"/>
        <w:spacing w:after="0" w:line="243" w:lineRule="auto"/>
        <w:rPr>
          <w:sz w:val="20"/>
          <w:szCs w:val="20"/>
          <w:color w:val="auto"/>
        </w:rPr>
      </w:pPr>
      <w:r>
        <w:rPr>
          <w:rFonts w:ascii="Times New Roman" w:cs="Times New Roman" w:eastAsia="Times New Roman" w:hAnsi="Times New Roman"/>
          <w:sz w:val="18"/>
          <w:szCs w:val="18"/>
          <w:color w:val="auto"/>
        </w:rPr>
        <w:t>In certain circumstances, they may also incur additional specific civil and criminal liabilities. Directors and certain other officers are insured under an insurance policy taken out by us against damages resulting from their conduct when acting in the capacities as such directors or officers. In addition, our Articles provide for indemnification of our directors, including reimbursement for reasonable legal fees and damages or fines based on acts or failures to act in their duties. No indemnification shall be given to a member of our Managing Board if a Dutch court has established, without possibility for appeal, that the acts or omissions of such indemnified person that led to the financial losses, damages, suit, claim, action or legal proceedings resulted from either an improper performance of his or her duties as a director or an officer of our company or an unlawful or illegal act, and only to the extent that his or her financial losses, damages and expenses are covered by an insurance and the insurer has settled these financial losses, damages and expenses (or has indicated that it would do so).</w:t>
      </w:r>
    </w:p>
    <w:p>
      <w:pPr>
        <w:spacing w:after="0" w:line="184" w:lineRule="exact"/>
        <w:rPr>
          <w:sz w:val="20"/>
          <w:szCs w:val="20"/>
          <w:color w:val="auto"/>
        </w:rPr>
      </w:pPr>
    </w:p>
    <w:p>
      <w:pPr>
        <w:jc w:val="both"/>
        <w:ind w:firstLine="510"/>
        <w:spacing w:after="0" w:line="284" w:lineRule="auto"/>
        <w:rPr>
          <w:sz w:val="20"/>
          <w:szCs w:val="20"/>
          <w:color w:val="auto"/>
        </w:rPr>
      </w:pPr>
      <w:r>
        <w:rPr>
          <w:rFonts w:ascii="Times New Roman" w:cs="Times New Roman" w:eastAsia="Times New Roman" w:hAnsi="Times New Roman"/>
          <w:sz w:val="18"/>
          <w:szCs w:val="18"/>
          <w:color w:val="auto"/>
        </w:rPr>
        <w:t>Furthermore, such indemnification will generally not be available in instances of willful (</w:t>
      </w:r>
      <w:r>
        <w:rPr>
          <w:rFonts w:ascii="Times New Roman" w:cs="Times New Roman" w:eastAsia="Times New Roman" w:hAnsi="Times New Roman"/>
          <w:sz w:val="18"/>
          <w:szCs w:val="18"/>
          <w:i w:val="1"/>
          <w:iCs w:val="1"/>
          <w:color w:val="auto"/>
        </w:rPr>
        <w:t>opzettelijk</w:t>
      </w:r>
      <w:r>
        <w:rPr>
          <w:rFonts w:ascii="Times New Roman" w:cs="Times New Roman" w:eastAsia="Times New Roman" w:hAnsi="Times New Roman"/>
          <w:sz w:val="18"/>
          <w:szCs w:val="18"/>
          <w:color w:val="auto"/>
        </w:rPr>
        <w:t>), intentionally reckless (</w:t>
      </w:r>
      <w:r>
        <w:rPr>
          <w:rFonts w:ascii="Times New Roman" w:cs="Times New Roman" w:eastAsia="Times New Roman" w:hAnsi="Times New Roman"/>
          <w:sz w:val="18"/>
          <w:szCs w:val="18"/>
          <w:i w:val="1"/>
          <w:iCs w:val="1"/>
          <w:color w:val="auto"/>
        </w:rPr>
        <w:t>bewust roekeloos</w:t>
      </w:r>
      <w:r>
        <w:rPr>
          <w:rFonts w:ascii="Times New Roman" w:cs="Times New Roman" w:eastAsia="Times New Roman" w:hAnsi="Times New Roman"/>
          <w:sz w:val="18"/>
          <w:szCs w:val="18"/>
          <w:color w:val="auto"/>
        </w:rPr>
        <w:t>) or seriously culpable (</w:t>
      </w:r>
      <w:r>
        <w:rPr>
          <w:rFonts w:ascii="Times New Roman" w:cs="Times New Roman" w:eastAsia="Times New Roman" w:hAnsi="Times New Roman"/>
          <w:sz w:val="18"/>
          <w:szCs w:val="18"/>
          <w:i w:val="1"/>
          <w:iCs w:val="1"/>
          <w:color w:val="auto"/>
        </w:rPr>
        <w:t>ernstig verwijtbaar</w:t>
      </w:r>
      <w:r>
        <w:rPr>
          <w:rFonts w:ascii="Times New Roman" w:cs="Times New Roman" w:eastAsia="Times New Roman" w:hAnsi="Times New Roman"/>
          <w:sz w:val="18"/>
          <w:szCs w:val="18"/>
          <w:color w:val="auto"/>
        </w:rPr>
        <w:t>) conduct unless Dutch law provides otherwise.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9. Exhibits and Financial Statement Schedules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78"/>
        </w:trPr>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4.1*</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Articles of Association.</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39"/>
        </w:trPr>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5.1*</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Legal Opinion of NautaDutilh N.V.</w:t>
            </w:r>
          </w:p>
        </w:tc>
      </w:tr>
      <w:tr>
        <w:trPr>
          <w:trHeight w:val="398"/>
        </w:trPr>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23.1*</w:t>
            </w:r>
          </w:p>
        </w:tc>
        <w:tc>
          <w:tcPr>
            <w:tcW w:w="25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Consent of Ernst &amp; Young AG.</w:t>
            </w:r>
          </w:p>
        </w:tc>
        <w:tc>
          <w:tcPr>
            <w:tcW w:w="1780" w:type="dxa"/>
            <w:vAlign w:val="bottom"/>
            <w:gridSpan w:val="2"/>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8"/>
        </w:trPr>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23.2*</w:t>
            </w:r>
          </w:p>
        </w:tc>
        <w:tc>
          <w:tcPr>
            <w:tcW w:w="4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Consent of NautaDutilh N.V. (included in Exhibit 5.1).</w:t>
            </w:r>
          </w:p>
        </w:tc>
        <w:tc>
          <w:tcPr>
            <w:tcW w:w="320" w:type="dxa"/>
            <w:vAlign w:val="bottom"/>
          </w:tcPr>
          <w:p>
            <w:pPr>
              <w:spacing w:after="0"/>
              <w:rPr>
                <w:sz w:val="24"/>
                <w:szCs w:val="24"/>
                <w:color w:val="auto"/>
              </w:rPr>
            </w:pPr>
          </w:p>
        </w:tc>
      </w:tr>
      <w:tr>
        <w:trPr>
          <w:trHeight w:val="398"/>
        </w:trPr>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24.1</w:t>
            </w:r>
          </w:p>
        </w:tc>
        <w:tc>
          <w:tcPr>
            <w:tcW w:w="4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the signature page hereto).</w:t>
            </w:r>
          </w:p>
        </w:tc>
      </w:tr>
      <w:tr>
        <w:trPr>
          <w:trHeight w:val="398"/>
        </w:trPr>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107*</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800" w:hanging="410"/>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2" w:lineRule="exact"/>
        <w:rPr>
          <w:sz w:val="20"/>
          <w:szCs w:val="20"/>
          <w:color w:val="auto"/>
        </w:rPr>
      </w:pPr>
    </w:p>
    <w:p>
      <w:pPr>
        <w:ind w:firstLine="390"/>
        <w:spacing w:after="0" w:line="266" w:lineRule="auto"/>
        <w:tabs>
          <w:tab w:leader="none" w:pos="8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and exhibits have been omitted pursuant to Item 601(a)(5) of Regulation S-K, but will be furnished supplementally to the SEC upon request.</w:t>
      </w:r>
    </w:p>
    <w:p>
      <w:pPr>
        <w:spacing w:after="0" w:line="176" w:lineRule="exact"/>
        <w:rPr>
          <w:sz w:val="20"/>
          <w:szCs w:val="20"/>
          <w:color w:val="auto"/>
        </w:rPr>
      </w:pPr>
    </w:p>
    <w:p>
      <w:pPr>
        <w:ind w:left="5540" w:right="1940" w:hanging="5150"/>
        <w:spacing w:after="0" w:line="516" w:lineRule="auto"/>
        <w:tabs>
          <w:tab w:leader="none" w:pos="5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in uncertificated form. Therefore STM is not filing a specimen certificate evidencing Ordinary Share.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5"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0F0F0F"/>
        </w:rPr>
      </w:pPr>
      <w:r>
        <w:rPr>
          <w:rFonts w:ascii="Times New Roman" w:cs="Times New Roman" w:eastAsia="Times New Roman" w:hAnsi="Times New Roman"/>
          <w:sz w:val="18"/>
          <w:szCs w:val="18"/>
          <w:b w:val="1"/>
          <w:bCs w:val="1"/>
          <w:color w:val="0F0F0F"/>
        </w:rPr>
        <w:t>STM hereby undertakes:</w:t>
      </w:r>
    </w:p>
    <w:p>
      <w:pPr>
        <w:spacing w:after="0" w:line="269" w:lineRule="exact"/>
        <w:rPr>
          <w:rFonts w:ascii="Times New Roman" w:cs="Times New Roman" w:eastAsia="Times New Roman" w:hAnsi="Times New Roman"/>
          <w:sz w:val="18"/>
          <w:szCs w:val="18"/>
          <w:b w:val="1"/>
          <w:bCs w:val="1"/>
          <w:color w:val="0F0F0F"/>
        </w:rPr>
      </w:pPr>
    </w:p>
    <w:p>
      <w:pPr>
        <w:ind w:left="1000" w:hanging="493"/>
        <w:spacing w:after="0"/>
        <w:tabs>
          <w:tab w:leader="none" w:pos="1000" w:val="left"/>
        </w:tabs>
        <w:numPr>
          <w:ilvl w:val="1"/>
          <w:numId w:val="25"/>
        </w:numPr>
        <w:rPr>
          <w:rFonts w:ascii="Times New Roman" w:cs="Times New Roman" w:eastAsia="Times New Roman" w:hAnsi="Times New Roman"/>
          <w:sz w:val="18"/>
          <w:szCs w:val="18"/>
          <w:color w:val="312F2F"/>
        </w:rPr>
      </w:pPr>
      <w:r>
        <w:rPr>
          <w:rFonts w:ascii="Times New Roman" w:cs="Times New Roman" w:eastAsia="Times New Roman" w:hAnsi="Times New Roman"/>
          <w:sz w:val="18"/>
          <w:szCs w:val="18"/>
          <w:color w:val="312F2F"/>
        </w:rPr>
        <w:t>To file</w:t>
      </w:r>
      <w:r>
        <w:rPr>
          <w:rFonts w:ascii="Times New Roman" w:cs="Times New Roman" w:eastAsia="Times New Roman" w:hAnsi="Times New Roman"/>
          <w:sz w:val="18"/>
          <w:szCs w:val="18"/>
          <w:color w:val="524F4F"/>
        </w:rPr>
        <w:t>,</w:t>
      </w:r>
      <w:r>
        <w:rPr>
          <w:rFonts w:ascii="Times New Roman" w:cs="Times New Roman" w:eastAsia="Times New Roman" w:hAnsi="Times New Roman"/>
          <w:sz w:val="18"/>
          <w:szCs w:val="18"/>
          <w:color w:val="312F2F"/>
        </w:rPr>
        <w:t xml:space="preserve"> during any period in which offers or sales are being made, a post-effective amendment to this registration statement:</w:t>
      </w:r>
    </w:p>
    <w:p>
      <w:pPr>
        <w:spacing w:after="0" w:line="238" w:lineRule="exact"/>
        <w:rPr>
          <w:rFonts w:ascii="Times New Roman" w:cs="Times New Roman" w:eastAsia="Times New Roman" w:hAnsi="Times New Roman"/>
          <w:sz w:val="18"/>
          <w:szCs w:val="18"/>
          <w:color w:val="312F2F"/>
        </w:rPr>
      </w:pPr>
    </w:p>
    <w:p>
      <w:pPr>
        <w:ind w:left="1520" w:hanging="500"/>
        <w:spacing w:after="0"/>
        <w:tabs>
          <w:tab w:leader="none" w:pos="1520" w:val="left"/>
        </w:tabs>
        <w:numPr>
          <w:ilvl w:val="2"/>
          <w:numId w:val="25"/>
        </w:numPr>
        <w:rPr>
          <w:rFonts w:ascii="Times New Roman" w:cs="Times New Roman" w:eastAsia="Times New Roman" w:hAnsi="Times New Roman"/>
          <w:sz w:val="18"/>
          <w:szCs w:val="18"/>
          <w:color w:val="312F2F"/>
        </w:rPr>
      </w:pPr>
      <w:r>
        <w:rPr>
          <w:rFonts w:ascii="Times New Roman" w:cs="Times New Roman" w:eastAsia="Times New Roman" w:hAnsi="Times New Roman"/>
          <w:sz w:val="18"/>
          <w:szCs w:val="18"/>
          <w:color w:val="312F2F"/>
        </w:rPr>
        <w:t>To include any prospectus required by Section 10(a)(3) of the Securities Act.</w:t>
      </w:r>
    </w:p>
    <w:p>
      <w:pPr>
        <w:spacing w:after="0" w:line="238" w:lineRule="exact"/>
        <w:rPr>
          <w:rFonts w:ascii="Times New Roman" w:cs="Times New Roman" w:eastAsia="Times New Roman" w:hAnsi="Times New Roman"/>
          <w:sz w:val="18"/>
          <w:szCs w:val="18"/>
          <w:color w:val="312F2F"/>
        </w:rPr>
      </w:pPr>
    </w:p>
    <w:p>
      <w:pPr>
        <w:jc w:val="both"/>
        <w:ind w:left="1520" w:hanging="500"/>
        <w:spacing w:after="0" w:line="274" w:lineRule="auto"/>
        <w:tabs>
          <w:tab w:leader="none" w:pos="1520" w:val="left"/>
        </w:tabs>
        <w:numPr>
          <w:ilvl w:val="2"/>
          <w:numId w:val="25"/>
        </w:numPr>
        <w:rPr>
          <w:rFonts w:ascii="Times New Roman" w:cs="Times New Roman" w:eastAsia="Times New Roman" w:hAnsi="Times New Roman"/>
          <w:sz w:val="18"/>
          <w:szCs w:val="18"/>
          <w:color w:val="312F2F"/>
        </w:rPr>
      </w:pPr>
      <w:r>
        <w:rPr>
          <w:rFonts w:ascii="Times New Roman" w:cs="Times New Roman" w:eastAsia="Times New Roman" w:hAnsi="Times New Roman"/>
          <w:sz w:val="18"/>
          <w:szCs w:val="18"/>
          <w:color w:val="312F2F"/>
        </w:rPr>
        <w:t>To reflect in the prospectus any facts or events arising after the effective date of the registration statement (or the most recent post-effective amendment thereof) that, individually or in the aggregate</w:t>
      </w:r>
      <w:r>
        <w:rPr>
          <w:rFonts w:ascii="Times New Roman" w:cs="Times New Roman" w:eastAsia="Times New Roman" w:hAnsi="Times New Roman"/>
          <w:sz w:val="18"/>
          <w:szCs w:val="18"/>
          <w:color w:val="524F4F"/>
        </w:rPr>
        <w:t>,</w:t>
      </w:r>
      <w:r>
        <w:rPr>
          <w:rFonts w:ascii="Times New Roman" w:cs="Times New Roman" w:eastAsia="Times New Roman" w:hAnsi="Times New Roman"/>
          <w:sz w:val="18"/>
          <w:szCs w:val="18"/>
          <w:color w:val="312F2F"/>
        </w:rPr>
        <w:t xml:space="preserve"> represent a fundamental change in the information set forth in the registration statement. Notwithstanding the foregoing</w:t>
      </w:r>
      <w:r>
        <w:rPr>
          <w:rFonts w:ascii="Times New Roman" w:cs="Times New Roman" w:eastAsia="Times New Roman" w:hAnsi="Times New Roman"/>
          <w:sz w:val="18"/>
          <w:szCs w:val="18"/>
          <w:color w:val="524F4F"/>
        </w:rPr>
        <w:t>,</w:t>
      </w:r>
      <w:r>
        <w:rPr>
          <w:rFonts w:ascii="Times New Roman" w:cs="Times New Roman" w:eastAsia="Times New Roman" w:hAnsi="Times New Roman"/>
          <w:sz w:val="18"/>
          <w:szCs w:val="18"/>
          <w:color w:val="312F2F"/>
        </w:rPr>
        <w:t xml:space="preserve"> any increase or decrease in volume of securities offered (if the total dollar value of securities offered would not exceed that which was registered) and any deviation from the low or high end of the estimated maximum offering range </w:t>
      </w:r>
      <w:r>
        <w:rPr>
          <w:rFonts w:ascii="Times New Roman" w:cs="Times New Roman" w:eastAsia="Times New Roman" w:hAnsi="Times New Roman"/>
          <w:sz w:val="18"/>
          <w:szCs w:val="18"/>
          <w:color w:val="332F2F"/>
        </w:rPr>
        <w:t>may</w:t>
      </w:r>
      <w:r>
        <w:rPr>
          <w:rFonts w:ascii="Times New Roman" w:cs="Times New Roman" w:eastAsia="Times New Roman" w:hAnsi="Times New Roman"/>
          <w:sz w:val="18"/>
          <w:szCs w:val="18"/>
          <w:color w:val="312F2F"/>
        </w:rPr>
        <w:t xml:space="preserve"> be reflected in the form of prospectus filed with the SEC pursuant to Rule 424(b) if</w:t>
      </w:r>
      <w:r>
        <w:rPr>
          <w:rFonts w:ascii="Times New Roman" w:cs="Times New Roman" w:eastAsia="Times New Roman" w:hAnsi="Times New Roman"/>
          <w:sz w:val="18"/>
          <w:szCs w:val="18"/>
          <w:color w:val="524F4F"/>
        </w:rPr>
        <w:t>,</w:t>
      </w:r>
      <w:r>
        <w:rPr>
          <w:rFonts w:ascii="Times New Roman" w:cs="Times New Roman" w:eastAsia="Times New Roman" w:hAnsi="Times New Roman"/>
          <w:sz w:val="18"/>
          <w:szCs w:val="18"/>
          <w:color w:val="312F2F"/>
        </w:rPr>
        <w:t xml:space="preserve"> in the aggregate, the changes in volume and price represent no more than 20 percent change in the maximum aggregate offering price set forth in the "Calculation of Registration Fee" table in the effective registration statement.</w:t>
      </w:r>
    </w:p>
    <w:p>
      <w:pPr>
        <w:spacing w:after="0" w:line="195" w:lineRule="exact"/>
        <w:rPr>
          <w:rFonts w:ascii="Times New Roman" w:cs="Times New Roman" w:eastAsia="Times New Roman" w:hAnsi="Times New Roman"/>
          <w:sz w:val="18"/>
          <w:szCs w:val="18"/>
          <w:color w:val="312F2F"/>
        </w:rPr>
      </w:pPr>
    </w:p>
    <w:p>
      <w:pPr>
        <w:ind w:left="1520" w:hanging="500"/>
        <w:spacing w:after="0" w:line="282" w:lineRule="auto"/>
        <w:tabs>
          <w:tab w:leader="none" w:pos="1520" w:val="left"/>
        </w:tabs>
        <w:numPr>
          <w:ilvl w:val="2"/>
          <w:numId w:val="25"/>
        </w:numPr>
        <w:rPr>
          <w:rFonts w:ascii="Times New Roman" w:cs="Times New Roman" w:eastAsia="Times New Roman" w:hAnsi="Times New Roman"/>
          <w:sz w:val="18"/>
          <w:szCs w:val="18"/>
          <w:color w:val="312F2F"/>
        </w:rPr>
      </w:pPr>
      <w:r>
        <w:rPr>
          <w:rFonts w:ascii="Times New Roman" w:cs="Times New Roman" w:eastAsia="Times New Roman" w:hAnsi="Times New Roman"/>
          <w:sz w:val="18"/>
          <w:szCs w:val="18"/>
          <w:color w:val="312F2F"/>
        </w:rPr>
        <w:t xml:space="preserve">To include any material information with respect to the plan of distribution not previously disclosed in the </w:t>
      </w:r>
      <w:r>
        <w:rPr>
          <w:rFonts w:ascii="Times New Roman" w:cs="Times New Roman" w:eastAsia="Times New Roman" w:hAnsi="Times New Roman"/>
          <w:sz w:val="18"/>
          <w:szCs w:val="18"/>
          <w:color w:val="332F2F"/>
        </w:rPr>
        <w:t>registration</w:t>
      </w:r>
      <w:r>
        <w:rPr>
          <w:rFonts w:ascii="Times New Roman" w:cs="Times New Roman" w:eastAsia="Times New Roman" w:hAnsi="Times New Roman"/>
          <w:sz w:val="18"/>
          <w:szCs w:val="18"/>
          <w:color w:val="312F2F"/>
        </w:rPr>
        <w:t xml:space="preserve"> statement or any material change to such information in the registration statement.</w:t>
      </w:r>
    </w:p>
    <w:p>
      <w:pPr>
        <w:spacing w:after="0" w:line="189"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0F0F0F"/>
        </w:rPr>
        <w:t>provided, howev</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r, that paragraph</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0F0F0F"/>
        </w:rPr>
        <w:t xml:space="preserve"> (a)(l )(i)</w:t>
      </w:r>
      <w:r>
        <w:rPr>
          <w:rFonts w:ascii="Times New Roman" w:cs="Times New Roman" w:eastAsia="Times New Roman" w:hAnsi="Times New Roman"/>
          <w:sz w:val="18"/>
          <w:szCs w:val="18"/>
          <w:color w:val="312F2F"/>
        </w:rPr>
        <w:t>,</w:t>
      </w:r>
      <w:r>
        <w:rPr>
          <w:rFonts w:ascii="Times New Roman" w:cs="Times New Roman" w:eastAsia="Times New Roman" w:hAnsi="Times New Roman"/>
          <w:sz w:val="18"/>
          <w:szCs w:val="18"/>
          <w:color w:val="0F0F0F"/>
        </w:rPr>
        <w:t xml:space="preserve"> (a)(l )(ii) and (a)( 1 )(iii) o</w:t>
      </w:r>
      <w:r>
        <w:rPr>
          <w:rFonts w:ascii="Times New Roman" w:cs="Times New Roman" w:eastAsia="Times New Roman" w:hAnsi="Times New Roman"/>
          <w:sz w:val="18"/>
          <w:szCs w:val="18"/>
          <w:color w:val="312F2F"/>
        </w:rPr>
        <w:t>f</w:t>
      </w:r>
      <w:r>
        <w:rPr>
          <w:rFonts w:ascii="Times New Roman" w:cs="Times New Roman" w:eastAsia="Times New Roman" w:hAnsi="Times New Roman"/>
          <w:sz w:val="18"/>
          <w:szCs w:val="18"/>
          <w:color w:val="0F0F0F"/>
        </w:rPr>
        <w:t xml:space="preserve"> this </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0F0F0F"/>
        </w:rPr>
        <w:t xml:space="preserve">ection do not </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0F0F0F"/>
        </w:rPr>
        <w:t>pply if th</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 xml:space="preserve"> information r</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quired to be includ</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d in a post-</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ffectiv</w:t>
      </w:r>
      <w:r>
        <w:rPr>
          <w:rFonts w:ascii="Times New Roman" w:cs="Times New Roman" w:eastAsia="Times New Roman" w:hAnsi="Times New Roman"/>
          <w:sz w:val="18"/>
          <w:szCs w:val="18"/>
          <w:color w:val="312F2F"/>
        </w:rPr>
        <w:t>e a</w:t>
      </w:r>
      <w:r>
        <w:rPr>
          <w:rFonts w:ascii="Times New Roman" w:cs="Times New Roman" w:eastAsia="Times New Roman" w:hAnsi="Times New Roman"/>
          <w:sz w:val="18"/>
          <w:szCs w:val="18"/>
          <w:color w:val="0F0F0F"/>
        </w:rPr>
        <w:t>m</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ndment by tho</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0F0F0F"/>
        </w:rPr>
        <w:t>e paragraphs is contain</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d in reports fil</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d with or furni</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0F0F0F"/>
        </w:rPr>
        <w:t>h</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d to th</w:t>
      </w:r>
      <w:r>
        <w:rPr>
          <w:rFonts w:ascii="Times New Roman" w:cs="Times New Roman" w:eastAsia="Times New Roman" w:hAnsi="Times New Roman"/>
          <w:sz w:val="18"/>
          <w:szCs w:val="18"/>
          <w:color w:val="312F2F"/>
        </w:rPr>
        <w:t xml:space="preserve">e </w:t>
      </w:r>
      <w:r>
        <w:rPr>
          <w:rFonts w:ascii="Times New Roman" w:cs="Times New Roman" w:eastAsia="Times New Roman" w:hAnsi="Times New Roman"/>
          <w:sz w:val="18"/>
          <w:szCs w:val="18"/>
          <w:color w:val="0F0F0F"/>
        </w:rPr>
        <w:t>S</w:t>
      </w:r>
      <w:r>
        <w:rPr>
          <w:rFonts w:ascii="Times New Roman" w:cs="Times New Roman" w:eastAsia="Times New Roman" w:hAnsi="Times New Roman"/>
          <w:sz w:val="18"/>
          <w:szCs w:val="18"/>
          <w:color w:val="312F2F"/>
        </w:rPr>
        <w:t>E</w:t>
      </w:r>
      <w:r>
        <w:rPr>
          <w:rFonts w:ascii="Times New Roman" w:cs="Times New Roman" w:eastAsia="Times New Roman" w:hAnsi="Times New Roman"/>
          <w:sz w:val="18"/>
          <w:szCs w:val="18"/>
          <w:color w:val="0F0F0F"/>
        </w:rPr>
        <w:t>C by th</w:t>
      </w:r>
      <w:r>
        <w:rPr>
          <w:rFonts w:ascii="Times New Roman" w:cs="Times New Roman" w:eastAsia="Times New Roman" w:hAnsi="Times New Roman"/>
          <w:sz w:val="18"/>
          <w:szCs w:val="18"/>
          <w:color w:val="312F2F"/>
        </w:rPr>
        <w:t xml:space="preserve">e </w:t>
      </w:r>
      <w:r>
        <w:rPr>
          <w:rFonts w:ascii="Times New Roman" w:cs="Times New Roman" w:eastAsia="Times New Roman" w:hAnsi="Times New Roman"/>
          <w:sz w:val="18"/>
          <w:szCs w:val="18"/>
          <w:color w:val="0F0F0F"/>
        </w:rPr>
        <w:t>r</w:t>
      </w:r>
      <w:r>
        <w:rPr>
          <w:rFonts w:ascii="Times New Roman" w:cs="Times New Roman" w:eastAsia="Times New Roman" w:hAnsi="Times New Roman"/>
          <w:sz w:val="18"/>
          <w:szCs w:val="18"/>
          <w:color w:val="312F2F"/>
        </w:rPr>
        <w:t>eg</w:t>
      </w:r>
      <w:r>
        <w:rPr>
          <w:rFonts w:ascii="Times New Roman" w:cs="Times New Roman" w:eastAsia="Times New Roman" w:hAnsi="Times New Roman"/>
          <w:sz w:val="18"/>
          <w:szCs w:val="18"/>
          <w:color w:val="0F0F0F"/>
        </w:rPr>
        <w:t>istrant pursuant to Section 13 or Section 15(d)</w:t>
      </w:r>
      <w:r>
        <w:rPr>
          <w:rFonts w:ascii="Times New Roman" w:cs="Times New Roman" w:eastAsia="Times New Roman" w:hAnsi="Times New Roman"/>
          <w:sz w:val="18"/>
          <w:szCs w:val="18"/>
          <w:color w:val="312F2F"/>
        </w:rPr>
        <w:t xml:space="preserve"> </w:t>
      </w:r>
      <w:r>
        <w:rPr>
          <w:rFonts w:ascii="Times New Roman" w:cs="Times New Roman" w:eastAsia="Times New Roman" w:hAnsi="Times New Roman"/>
          <w:sz w:val="18"/>
          <w:szCs w:val="18"/>
          <w:color w:val="0F0F0F"/>
        </w:rPr>
        <w:t>of th</w:t>
      </w:r>
      <w:r>
        <w:rPr>
          <w:rFonts w:ascii="Times New Roman" w:cs="Times New Roman" w:eastAsia="Times New Roman" w:hAnsi="Times New Roman"/>
          <w:sz w:val="18"/>
          <w:szCs w:val="18"/>
          <w:color w:val="312F2F"/>
        </w:rPr>
        <w:t>e E</w:t>
      </w:r>
      <w:r>
        <w:rPr>
          <w:rFonts w:ascii="Times New Roman" w:cs="Times New Roman" w:eastAsia="Times New Roman" w:hAnsi="Times New Roman"/>
          <w:sz w:val="18"/>
          <w:szCs w:val="18"/>
          <w:color w:val="0F0F0F"/>
        </w:rPr>
        <w:t>xchan</w:t>
      </w:r>
      <w:r>
        <w:rPr>
          <w:rFonts w:ascii="Times New Roman" w:cs="Times New Roman" w:eastAsia="Times New Roman" w:hAnsi="Times New Roman"/>
          <w:sz w:val="18"/>
          <w:szCs w:val="18"/>
          <w:color w:val="312F2F"/>
        </w:rPr>
        <w:t>g</w:t>
      </w:r>
      <w:r>
        <w:rPr>
          <w:rFonts w:ascii="Times New Roman" w:cs="Times New Roman" w:eastAsia="Times New Roman" w:hAnsi="Times New Roman"/>
          <w:sz w:val="18"/>
          <w:szCs w:val="18"/>
          <w:color w:val="0F0F0F"/>
        </w:rPr>
        <w:t>e Act th</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0F0F0F"/>
        </w:rPr>
        <w:t>t are incorporated by reference in the re</w:t>
      </w:r>
      <w:r>
        <w:rPr>
          <w:rFonts w:ascii="Times New Roman" w:cs="Times New Roman" w:eastAsia="Times New Roman" w:hAnsi="Times New Roman"/>
          <w:sz w:val="18"/>
          <w:szCs w:val="18"/>
          <w:color w:val="312F2F"/>
        </w:rPr>
        <w:t>g</w:t>
      </w:r>
      <w:r>
        <w:rPr>
          <w:rFonts w:ascii="Times New Roman" w:cs="Times New Roman" w:eastAsia="Times New Roman" w:hAnsi="Times New Roman"/>
          <w:sz w:val="18"/>
          <w:szCs w:val="18"/>
          <w:color w:val="0F0F0F"/>
        </w:rPr>
        <w:t>istration st</w:t>
      </w:r>
      <w:r>
        <w:rPr>
          <w:rFonts w:ascii="Times New Roman" w:cs="Times New Roman" w:eastAsia="Times New Roman" w:hAnsi="Times New Roman"/>
          <w:sz w:val="18"/>
          <w:szCs w:val="18"/>
          <w:color w:val="312F2F"/>
        </w:rPr>
        <w:t>a</w:t>
      </w:r>
      <w:r>
        <w:rPr>
          <w:rFonts w:ascii="Times New Roman" w:cs="Times New Roman" w:eastAsia="Times New Roman" w:hAnsi="Times New Roman"/>
          <w:sz w:val="18"/>
          <w:szCs w:val="18"/>
          <w:color w:val="0F0F0F"/>
        </w:rPr>
        <w:t>tement, or i</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0F0F0F"/>
        </w:rPr>
        <w:t xml:space="preserve"> contained in a </w:t>
      </w:r>
      <w:r>
        <w:rPr>
          <w:rFonts w:ascii="Times New Roman" w:cs="Times New Roman" w:eastAsia="Times New Roman" w:hAnsi="Times New Roman"/>
          <w:sz w:val="18"/>
          <w:szCs w:val="18"/>
          <w:color w:val="312F2F"/>
        </w:rPr>
        <w:t>fo</w:t>
      </w:r>
      <w:r>
        <w:rPr>
          <w:rFonts w:ascii="Times New Roman" w:cs="Times New Roman" w:eastAsia="Times New Roman" w:hAnsi="Times New Roman"/>
          <w:sz w:val="18"/>
          <w:szCs w:val="18"/>
          <w:color w:val="0F0F0F"/>
        </w:rPr>
        <w:t>rm of pro</w:t>
      </w:r>
      <w:r>
        <w:rPr>
          <w:rFonts w:ascii="Times New Roman" w:cs="Times New Roman" w:eastAsia="Times New Roman" w:hAnsi="Times New Roman"/>
          <w:sz w:val="18"/>
          <w:szCs w:val="18"/>
          <w:color w:val="312F2F"/>
        </w:rPr>
        <w:t>s</w:t>
      </w:r>
      <w:r>
        <w:rPr>
          <w:rFonts w:ascii="Times New Roman" w:cs="Times New Roman" w:eastAsia="Times New Roman" w:hAnsi="Times New Roman"/>
          <w:sz w:val="18"/>
          <w:szCs w:val="18"/>
          <w:color w:val="0F0F0F"/>
        </w:rPr>
        <w:t>pe</w:t>
      </w:r>
      <w:r>
        <w:rPr>
          <w:rFonts w:ascii="Times New Roman" w:cs="Times New Roman" w:eastAsia="Times New Roman" w:hAnsi="Times New Roman"/>
          <w:sz w:val="18"/>
          <w:szCs w:val="18"/>
          <w:color w:val="312F2F"/>
        </w:rPr>
        <w:t>c</w:t>
      </w:r>
      <w:r>
        <w:rPr>
          <w:rFonts w:ascii="Times New Roman" w:cs="Times New Roman" w:eastAsia="Times New Roman" w:hAnsi="Times New Roman"/>
          <w:sz w:val="18"/>
          <w:szCs w:val="18"/>
          <w:color w:val="0F0F0F"/>
        </w:rPr>
        <w:t>tus filed pu</w:t>
      </w:r>
      <w:r>
        <w:rPr>
          <w:rFonts w:ascii="Times New Roman" w:cs="Times New Roman" w:eastAsia="Times New Roman" w:hAnsi="Times New Roman"/>
          <w:sz w:val="18"/>
          <w:szCs w:val="18"/>
          <w:color w:val="312F2F"/>
        </w:rPr>
        <w:t>r</w:t>
      </w:r>
      <w:r>
        <w:rPr>
          <w:rFonts w:ascii="Times New Roman" w:cs="Times New Roman" w:eastAsia="Times New Roman" w:hAnsi="Times New Roman"/>
          <w:sz w:val="18"/>
          <w:szCs w:val="18"/>
          <w:color w:val="0F0F0F"/>
        </w:rPr>
        <w:t xml:space="preserve">suant to Rule 424(b) that is part of the </w:t>
      </w:r>
      <w:r>
        <w:rPr>
          <w:rFonts w:ascii="Times New Roman" w:cs="Times New Roman" w:eastAsia="Times New Roman" w:hAnsi="Times New Roman"/>
          <w:sz w:val="18"/>
          <w:szCs w:val="18"/>
          <w:color w:val="312F2F"/>
        </w:rPr>
        <w:t>r</w:t>
      </w:r>
      <w:r>
        <w:rPr>
          <w:rFonts w:ascii="Times New Roman" w:cs="Times New Roman" w:eastAsia="Times New Roman" w:hAnsi="Times New Roman"/>
          <w:sz w:val="18"/>
          <w:szCs w:val="18"/>
          <w:color w:val="0F0F0F"/>
        </w:rPr>
        <w:t>egist</w:t>
      </w:r>
      <w:r>
        <w:rPr>
          <w:rFonts w:ascii="Times New Roman" w:cs="Times New Roman" w:eastAsia="Times New Roman" w:hAnsi="Times New Roman"/>
          <w:sz w:val="18"/>
          <w:szCs w:val="18"/>
          <w:color w:val="312F2F"/>
        </w:rPr>
        <w:t>ra</w:t>
      </w:r>
      <w:r>
        <w:rPr>
          <w:rFonts w:ascii="Times New Roman" w:cs="Times New Roman" w:eastAsia="Times New Roman" w:hAnsi="Times New Roman"/>
          <w:sz w:val="18"/>
          <w:szCs w:val="18"/>
          <w:color w:val="0F0F0F"/>
        </w:rPr>
        <w:t>tion statement.</w:t>
      </w:r>
    </w:p>
    <w:p>
      <w:pPr>
        <w:spacing w:after="0" w:line="191" w:lineRule="exact"/>
        <w:rPr>
          <w:sz w:val="20"/>
          <w:szCs w:val="20"/>
          <w:color w:val="auto"/>
        </w:rPr>
      </w:pPr>
    </w:p>
    <w:p>
      <w:pPr>
        <w:jc w:val="both"/>
        <w:ind w:left="1000" w:hanging="493"/>
        <w:spacing w:after="0" w:line="289" w:lineRule="auto"/>
        <w:tabs>
          <w:tab w:leader="none" w:pos="1000" w:val="left"/>
        </w:tabs>
        <w:numPr>
          <w:ilvl w:val="0"/>
          <w:numId w:val="26"/>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 xml:space="preserve">That, for the purpose of determining any liability under the Securities Act, each such post-effective </w:t>
      </w:r>
      <w:r>
        <w:rPr>
          <w:rFonts w:ascii="Times New Roman" w:cs="Times New Roman" w:eastAsia="Times New Roman" w:hAnsi="Times New Roman"/>
          <w:sz w:val="18"/>
          <w:szCs w:val="18"/>
          <w:color w:val="312F2F"/>
        </w:rPr>
        <w:t>amendment</w:t>
      </w:r>
      <w:r>
        <w:rPr>
          <w:rFonts w:ascii="Times New Roman" w:cs="Times New Roman" w:eastAsia="Times New Roman" w:hAnsi="Times New Roman"/>
          <w:sz w:val="18"/>
          <w:szCs w:val="18"/>
          <w:color w:val="332F2F"/>
        </w:rPr>
        <w:t xml:space="preserve"> that contains a form of prospectus shall be deemed to be a new registration statement relating to the securities </w:t>
      </w:r>
      <w:r>
        <w:rPr>
          <w:rFonts w:ascii="Times New Roman" w:cs="Times New Roman" w:eastAsia="Times New Roman" w:hAnsi="Times New Roman"/>
          <w:sz w:val="18"/>
          <w:szCs w:val="18"/>
          <w:color w:val="312F2F"/>
        </w:rPr>
        <w:t>offered</w:t>
      </w:r>
      <w:r>
        <w:rPr>
          <w:rFonts w:ascii="Times New Roman" w:cs="Times New Roman" w:eastAsia="Times New Roman" w:hAnsi="Times New Roman"/>
          <w:sz w:val="18"/>
          <w:szCs w:val="18"/>
          <w:color w:val="332F2F"/>
        </w:rPr>
        <w:t xml:space="preserve">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332F2F"/>
        </w:rPr>
      </w:pPr>
    </w:p>
    <w:p>
      <w:pPr>
        <w:ind w:left="1000" w:hanging="493"/>
        <w:spacing w:after="0" w:line="297" w:lineRule="auto"/>
        <w:tabs>
          <w:tab w:leader="none" w:pos="1000" w:val="left"/>
        </w:tabs>
        <w:numPr>
          <w:ilvl w:val="0"/>
          <w:numId w:val="26"/>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 xml:space="preserve">To </w:t>
      </w:r>
      <w:r>
        <w:rPr>
          <w:rFonts w:ascii="Times New Roman" w:cs="Times New Roman" w:eastAsia="Times New Roman" w:hAnsi="Times New Roman"/>
          <w:sz w:val="18"/>
          <w:szCs w:val="18"/>
          <w:color w:val="312F2F"/>
        </w:rPr>
        <w:t>remove from</w:t>
      </w:r>
      <w:r>
        <w:rPr>
          <w:rFonts w:ascii="Times New Roman" w:cs="Times New Roman" w:eastAsia="Times New Roman" w:hAnsi="Times New Roman"/>
          <w:sz w:val="18"/>
          <w:szCs w:val="18"/>
          <w:color w:val="332F2F"/>
        </w:rPr>
        <w:t xml:space="preserve"> registration by means of a post-effective amendment any of the securities being registered which remain unsold at the termination of the offering</w:t>
      </w:r>
      <w:r>
        <w:rPr>
          <w:rFonts w:ascii="Times New Roman" w:cs="Times New Roman" w:eastAsia="Times New Roman" w:hAnsi="Times New Roman"/>
          <w:sz w:val="18"/>
          <w:szCs w:val="18"/>
          <w:color w:val="4D4B4B"/>
        </w:rPr>
        <w:t>;</w:t>
      </w:r>
    </w:p>
    <w:p>
      <w:pPr>
        <w:spacing w:after="0" w:line="162" w:lineRule="exact"/>
        <w:rPr>
          <w:rFonts w:ascii="Times New Roman" w:cs="Times New Roman" w:eastAsia="Times New Roman" w:hAnsi="Times New Roman"/>
          <w:sz w:val="18"/>
          <w:szCs w:val="18"/>
          <w:color w:val="332F2F"/>
        </w:rPr>
      </w:pPr>
    </w:p>
    <w:p>
      <w:pPr>
        <w:jc w:val="both"/>
        <w:ind w:left="1000" w:right="20" w:hanging="493"/>
        <w:spacing w:after="0" w:line="268" w:lineRule="auto"/>
        <w:tabs>
          <w:tab w:leader="none" w:pos="1000" w:val="left"/>
        </w:tabs>
        <w:numPr>
          <w:ilvl w:val="0"/>
          <w:numId w:val="26"/>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4D4B4B"/>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w:t>
      </w:r>
    </w:p>
    <w:p>
      <w:pPr>
        <w:spacing w:after="0" w:line="1" w:lineRule="exact"/>
        <w:rPr>
          <w:rFonts w:ascii="Times New Roman" w:cs="Times New Roman" w:eastAsia="Times New Roman" w:hAnsi="Times New Roman"/>
          <w:sz w:val="18"/>
          <w:szCs w:val="18"/>
          <w:color w:val="332F2F"/>
        </w:rPr>
      </w:pPr>
    </w:p>
    <w:p>
      <w:pPr>
        <w:jc w:val="both"/>
        <w:ind w:left="1000" w:firstLine="7"/>
        <w:spacing w:after="0" w:line="268" w:lineRule="auto"/>
        <w:tabs>
          <w:tab w:leader="none" w:pos="1289" w:val="left"/>
        </w:tabs>
        <w:numPr>
          <w:ilvl w:val="1"/>
          <w:numId w:val="26"/>
        </w:numPr>
        <w:rPr>
          <w:rFonts w:ascii="Times New Roman" w:cs="Times New Roman" w:eastAsia="Times New Roman" w:hAnsi="Times New Roman"/>
          <w:sz w:val="18"/>
          <w:szCs w:val="18"/>
          <w:color w:val="4D4B4B"/>
        </w:rPr>
      </w:pPr>
      <w:r>
        <w:rPr>
          <w:rFonts w:ascii="Times New Roman" w:cs="Times New Roman" w:eastAsia="Times New Roman" w:hAnsi="Times New Roman"/>
          <w:sz w:val="18"/>
          <w:szCs w:val="18"/>
          <w:color w:val="4D4B4B"/>
        </w:rPr>
        <w:t>of the Securities Act need not be furnished; provided, that the registrant includes in the prospectus, by means of a post- effective amendment, financial statements required pursuant to this paragraph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F-3;and</w:t>
      </w:r>
    </w:p>
    <w:p>
      <w:pPr>
        <w:spacing w:after="0" w:line="187" w:lineRule="exact"/>
        <w:rPr>
          <w:rFonts w:ascii="Times New Roman" w:cs="Times New Roman" w:eastAsia="Times New Roman" w:hAnsi="Times New Roman"/>
          <w:sz w:val="18"/>
          <w:szCs w:val="18"/>
          <w:color w:val="4D4B4B"/>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That, for the purpose of determining liability under the Securities Act to any purchaser</w:t>
      </w:r>
      <w:r>
        <w:rPr>
          <w:rFonts w:ascii="Times New Roman" w:cs="Times New Roman" w:eastAsia="Times New Roman" w:hAnsi="Times New Roman"/>
          <w:sz w:val="18"/>
          <w:szCs w:val="18"/>
          <w:color w:val="4D4B4B"/>
        </w:rPr>
        <w: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4" w:name="page45"/>
    <w:bookmarkEnd w:id="44"/>
    <w:p>
      <w:pPr>
        <w:ind w:left="1520" w:right="20" w:hanging="500"/>
        <w:spacing w:after="0" w:line="297" w:lineRule="auto"/>
        <w:tabs>
          <w:tab w:leader="none" w:pos="1520" w:val="left"/>
        </w:tabs>
        <w:numPr>
          <w:ilvl w:val="0"/>
          <w:numId w:val="27"/>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each prospectu</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11111"/>
        </w:rPr>
        <w:t xml:space="preserve"> filed by the re</w:t>
      </w:r>
      <w:r>
        <w:rPr>
          <w:rFonts w:ascii="Times New Roman" w:cs="Times New Roman" w:eastAsia="Times New Roman" w:hAnsi="Times New Roman"/>
          <w:sz w:val="18"/>
          <w:szCs w:val="18"/>
          <w:color w:val="332F2F"/>
        </w:rPr>
        <w:t>g</w:t>
      </w:r>
      <w:r>
        <w:rPr>
          <w:rFonts w:ascii="Times New Roman" w:cs="Times New Roman" w:eastAsia="Times New Roman" w:hAnsi="Times New Roman"/>
          <w:sz w:val="18"/>
          <w:szCs w:val="18"/>
          <w:color w:val="111111"/>
        </w:rPr>
        <w:t>istrant pursuant to Rule 424(b)(3) sh</w:t>
      </w:r>
      <w:r>
        <w:rPr>
          <w:rFonts w:ascii="Times New Roman" w:cs="Times New Roman" w:eastAsia="Times New Roman" w:hAnsi="Times New Roman"/>
          <w:sz w:val="18"/>
          <w:szCs w:val="18"/>
          <w:color w:val="332F2F"/>
        </w:rPr>
        <w:t>a</w:t>
      </w:r>
      <w:r>
        <w:rPr>
          <w:rFonts w:ascii="Times New Roman" w:cs="Times New Roman" w:eastAsia="Times New Roman" w:hAnsi="Times New Roman"/>
          <w:sz w:val="18"/>
          <w:szCs w:val="18"/>
          <w:color w:val="111111"/>
        </w:rPr>
        <w:t>ll be deemed to be p</w:t>
      </w:r>
      <w:r>
        <w:rPr>
          <w:rFonts w:ascii="Times New Roman" w:cs="Times New Roman" w:eastAsia="Times New Roman" w:hAnsi="Times New Roman"/>
          <w:sz w:val="18"/>
          <w:szCs w:val="18"/>
          <w:color w:val="332F2F"/>
        </w:rPr>
        <w:t>a</w:t>
      </w:r>
      <w:r>
        <w:rPr>
          <w:rFonts w:ascii="Times New Roman" w:cs="Times New Roman" w:eastAsia="Times New Roman" w:hAnsi="Times New Roman"/>
          <w:sz w:val="18"/>
          <w:szCs w:val="18"/>
          <w:color w:val="111111"/>
        </w:rPr>
        <w:t>rt of the regi</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11111"/>
        </w:rPr>
        <w:t>tration statement a</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11111"/>
        </w:rPr>
        <w:t xml:space="preserve"> o</w:t>
      </w:r>
      <w:r>
        <w:rPr>
          <w:rFonts w:ascii="Times New Roman" w:cs="Times New Roman" w:eastAsia="Times New Roman" w:hAnsi="Times New Roman"/>
          <w:sz w:val="18"/>
          <w:szCs w:val="18"/>
          <w:color w:val="332F2F"/>
        </w:rPr>
        <w:t>f</w:t>
      </w:r>
      <w:r>
        <w:rPr>
          <w:rFonts w:ascii="Times New Roman" w:cs="Times New Roman" w:eastAsia="Times New Roman" w:hAnsi="Times New Roman"/>
          <w:sz w:val="18"/>
          <w:szCs w:val="18"/>
          <w:color w:val="111111"/>
        </w:rPr>
        <w:t xml:space="preserve"> the d</w:t>
      </w:r>
      <w:r>
        <w:rPr>
          <w:rFonts w:ascii="Times New Roman" w:cs="Times New Roman" w:eastAsia="Times New Roman" w:hAnsi="Times New Roman"/>
          <w:sz w:val="18"/>
          <w:szCs w:val="18"/>
          <w:color w:val="332F2F"/>
        </w:rPr>
        <w:t>a</w:t>
      </w:r>
      <w:r>
        <w:rPr>
          <w:rFonts w:ascii="Times New Roman" w:cs="Times New Roman" w:eastAsia="Times New Roman" w:hAnsi="Times New Roman"/>
          <w:sz w:val="18"/>
          <w:szCs w:val="18"/>
          <w:color w:val="111111"/>
        </w:rPr>
        <w:t>te the filed pro</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11111"/>
        </w:rPr>
        <w:t>pectu</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11111"/>
        </w:rPr>
        <w:t xml:space="preserve"> was deemed part o</w:t>
      </w:r>
      <w:r>
        <w:rPr>
          <w:rFonts w:ascii="Times New Roman" w:cs="Times New Roman" w:eastAsia="Times New Roman" w:hAnsi="Times New Roman"/>
          <w:sz w:val="18"/>
          <w:szCs w:val="18"/>
          <w:color w:val="332F2F"/>
        </w:rPr>
        <w:t>f</w:t>
      </w:r>
      <w:r>
        <w:rPr>
          <w:rFonts w:ascii="Times New Roman" w:cs="Times New Roman" w:eastAsia="Times New Roman" w:hAnsi="Times New Roman"/>
          <w:sz w:val="18"/>
          <w:szCs w:val="18"/>
          <w:color w:val="111111"/>
        </w:rPr>
        <w:t xml:space="preserve"> and </w:t>
      </w:r>
      <w:r>
        <w:rPr>
          <w:rFonts w:ascii="Times New Roman" w:cs="Times New Roman" w:eastAsia="Times New Roman" w:hAnsi="Times New Roman"/>
          <w:sz w:val="18"/>
          <w:szCs w:val="18"/>
          <w:color w:val="332F2F"/>
        </w:rPr>
        <w:t>included i</w:t>
      </w:r>
      <w:r>
        <w:rPr>
          <w:rFonts w:ascii="Times New Roman" w:cs="Times New Roman" w:eastAsia="Times New Roman" w:hAnsi="Times New Roman"/>
          <w:sz w:val="18"/>
          <w:szCs w:val="18"/>
          <w:color w:val="111111"/>
        </w:rPr>
        <w:t xml:space="preserve">n the </w:t>
      </w:r>
      <w:r>
        <w:rPr>
          <w:rFonts w:ascii="Times New Roman" w:cs="Times New Roman" w:eastAsia="Times New Roman" w:hAnsi="Times New Roman"/>
          <w:sz w:val="18"/>
          <w:szCs w:val="18"/>
          <w:color w:val="332F2F"/>
        </w:rPr>
        <w:t>r</w:t>
      </w:r>
      <w:r>
        <w:rPr>
          <w:rFonts w:ascii="Times New Roman" w:cs="Times New Roman" w:eastAsia="Times New Roman" w:hAnsi="Times New Roman"/>
          <w:sz w:val="18"/>
          <w:szCs w:val="18"/>
          <w:color w:val="111111"/>
        </w:rPr>
        <w:t>e</w:t>
      </w:r>
      <w:r>
        <w:rPr>
          <w:rFonts w:ascii="Times New Roman" w:cs="Times New Roman" w:eastAsia="Times New Roman" w:hAnsi="Times New Roman"/>
          <w:sz w:val="18"/>
          <w:szCs w:val="18"/>
          <w:color w:val="332F2F"/>
        </w:rPr>
        <w:t>g</w:t>
      </w:r>
      <w:r>
        <w:rPr>
          <w:rFonts w:ascii="Times New Roman" w:cs="Times New Roman" w:eastAsia="Times New Roman" w:hAnsi="Times New Roman"/>
          <w:sz w:val="18"/>
          <w:szCs w:val="18"/>
          <w:color w:val="111111"/>
        </w:rPr>
        <w:t>istrat</w:t>
      </w:r>
      <w:r>
        <w:rPr>
          <w:rFonts w:ascii="Times New Roman" w:cs="Times New Roman" w:eastAsia="Times New Roman" w:hAnsi="Times New Roman"/>
          <w:sz w:val="18"/>
          <w:szCs w:val="18"/>
          <w:color w:val="332F2F"/>
        </w:rPr>
        <w:t>i</w:t>
      </w:r>
      <w:r>
        <w:rPr>
          <w:rFonts w:ascii="Times New Roman" w:cs="Times New Roman" w:eastAsia="Times New Roman" w:hAnsi="Times New Roman"/>
          <w:sz w:val="18"/>
          <w:szCs w:val="18"/>
          <w:color w:val="111111"/>
        </w:rPr>
        <w:t xml:space="preserve">on </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11111"/>
        </w:rPr>
        <w:t>tatement</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11111"/>
        </w:rPr>
        <w:t xml:space="preserve"> and</w:t>
      </w:r>
    </w:p>
    <w:p>
      <w:pPr>
        <w:spacing w:after="0" w:line="176" w:lineRule="exact"/>
        <w:rPr>
          <w:rFonts w:ascii="Times New Roman" w:cs="Times New Roman" w:eastAsia="Times New Roman" w:hAnsi="Times New Roman"/>
          <w:sz w:val="18"/>
          <w:szCs w:val="18"/>
          <w:color w:val="111111"/>
        </w:rPr>
      </w:pPr>
    </w:p>
    <w:p>
      <w:pPr>
        <w:jc w:val="both"/>
        <w:ind w:left="1520" w:hanging="500"/>
        <w:spacing w:after="0" w:line="270" w:lineRule="auto"/>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2F2F"/>
        </w:rPr>
        <w:t>each prospectus required to be filed pursuant to Rule 424(b)(2)</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32F2F"/>
        </w:rPr>
        <w:t xml:space="preserve"> (b)(5)</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32F2F"/>
        </w:rPr>
        <w:t xml:space="preserve"> or (b)(7) as part of a registration statement in reliance on Rule 430B relating to an offering made pursuant to Rule 415(a)(l)(i), (vii)</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32F2F"/>
        </w:rPr>
        <w:t xml:space="preserve"> or (x) for the </w:t>
      </w:r>
      <w:r>
        <w:rPr>
          <w:rFonts w:ascii="Times New Roman" w:cs="Times New Roman" w:eastAsia="Times New Roman" w:hAnsi="Times New Roman"/>
          <w:sz w:val="18"/>
          <w:szCs w:val="18"/>
          <w:color w:val="111111"/>
        </w:rPr>
        <w:t>purpose</w:t>
      </w:r>
      <w:r>
        <w:rPr>
          <w:rFonts w:ascii="Times New Roman" w:cs="Times New Roman" w:eastAsia="Times New Roman" w:hAnsi="Times New Roman"/>
          <w:sz w:val="18"/>
          <w:szCs w:val="18"/>
          <w:color w:val="332F2F"/>
        </w:rPr>
        <w:t xml:space="preserve"> of providing the information required by section IO(a) of the Securities Act shall be deemed to be part of and included in the registration statement as of the earlier of the date such form of prospectus is first used after effectiveness or the </w:t>
      </w:r>
      <w:r>
        <w:rPr>
          <w:rFonts w:ascii="Times New Roman" w:cs="Times New Roman" w:eastAsia="Times New Roman" w:hAnsi="Times New Roman"/>
          <w:sz w:val="18"/>
          <w:szCs w:val="18"/>
          <w:color w:val="111111"/>
        </w:rPr>
        <w:t>date</w:t>
      </w:r>
      <w:r>
        <w:rPr>
          <w:rFonts w:ascii="Times New Roman" w:cs="Times New Roman" w:eastAsia="Times New Roman" w:hAnsi="Times New Roman"/>
          <w:sz w:val="18"/>
          <w:szCs w:val="18"/>
          <w:color w:val="332F2F"/>
        </w:rPr>
        <w:t xml:space="preserve"> of the first contract of sale of securities in the offering described in the prospectus. As provided in Rule 430B, for liability purposes of the issuer and any person that is at that date an </w:t>
      </w:r>
      <w:r>
        <w:rPr>
          <w:rFonts w:ascii="Times New Roman" w:cs="Times New Roman" w:eastAsia="Times New Roman" w:hAnsi="Times New Roman"/>
          <w:sz w:val="18"/>
          <w:szCs w:val="18"/>
          <w:color w:val="111111"/>
        </w:rPr>
        <w:t>underwriter</w:t>
      </w:r>
      <w:r>
        <w:rPr>
          <w:rFonts w:ascii="Times New Roman" w:cs="Times New Roman" w:eastAsia="Times New Roman" w:hAnsi="Times New Roman"/>
          <w:sz w:val="18"/>
          <w:szCs w:val="18"/>
          <w:color w:val="4D4B4B"/>
        </w:rPr>
        <w:t>,</w:t>
      </w:r>
      <w:r>
        <w:rPr>
          <w:rFonts w:ascii="Times New Roman" w:cs="Times New Roman" w:eastAsia="Times New Roman" w:hAnsi="Times New Roman"/>
          <w:sz w:val="18"/>
          <w:szCs w:val="18"/>
          <w:color w:val="332F2F"/>
        </w:rPr>
        <w:t xml:space="preserve"> such date shall be deemed to be a new effective date of the registration statement relating to the securities in the registration statement to which that prospectus relate</w:t>
      </w:r>
      <w:r>
        <w:rPr>
          <w:rFonts w:ascii="Times New Roman" w:cs="Times New Roman" w:eastAsia="Times New Roman" w:hAnsi="Times New Roman"/>
          <w:sz w:val="18"/>
          <w:szCs w:val="18"/>
          <w:color w:val="4D4B4B"/>
        </w:rPr>
        <w:t>s</w:t>
      </w:r>
      <w:r>
        <w:rPr>
          <w:rFonts w:ascii="Times New Roman" w:cs="Times New Roman" w:eastAsia="Times New Roman" w:hAnsi="Times New Roman"/>
          <w:sz w:val="18"/>
          <w:szCs w:val="18"/>
          <w:color w:val="332F2F"/>
        </w:rPr>
        <w:t>,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203" w:lineRule="exact"/>
        <w:rPr>
          <w:sz w:val="20"/>
          <w:szCs w:val="20"/>
          <w:color w:val="auto"/>
        </w:rPr>
      </w:pPr>
    </w:p>
    <w:p>
      <w:pPr>
        <w:ind w:left="1000" w:right="20" w:hanging="493"/>
        <w:spacing w:after="0" w:line="297" w:lineRule="auto"/>
        <w:tabs>
          <w:tab w:leader="none" w:pos="1000" w:val="left"/>
        </w:tabs>
        <w:numPr>
          <w:ilvl w:val="0"/>
          <w:numId w:val="28"/>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that, for the p</w:t>
      </w:r>
      <w:r>
        <w:rPr>
          <w:rFonts w:ascii="Times New Roman" w:cs="Times New Roman" w:eastAsia="Times New Roman" w:hAnsi="Times New Roman"/>
          <w:sz w:val="18"/>
          <w:szCs w:val="18"/>
          <w:color w:val="131313"/>
        </w:rPr>
        <w:t>u</w:t>
      </w:r>
      <w:r>
        <w:rPr>
          <w:rFonts w:ascii="Times New Roman" w:cs="Times New Roman" w:eastAsia="Times New Roman" w:hAnsi="Times New Roman"/>
          <w:sz w:val="18"/>
          <w:szCs w:val="18"/>
          <w:color w:val="332F2F"/>
        </w:rPr>
        <w:t>rpose of determining liability of the registrant under the Securities Act to any purchaser in the initia</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32F2F"/>
        </w:rPr>
        <w:t xml:space="preserve"> distribution of the securities:</w:t>
      </w:r>
    </w:p>
    <w:p>
      <w:pPr>
        <w:spacing w:after="0" w:line="163"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8"/>
          <w:szCs w:val="18"/>
          <w:color w:val="131313"/>
        </w:rPr>
        <w:t>The und</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r</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i</w:t>
      </w:r>
      <w:r>
        <w:rPr>
          <w:rFonts w:ascii="Times New Roman" w:cs="Times New Roman" w:eastAsia="Times New Roman" w:hAnsi="Times New Roman"/>
          <w:sz w:val="18"/>
          <w:szCs w:val="18"/>
          <w:color w:val="332F2F"/>
        </w:rPr>
        <w:t>g</w:t>
      </w:r>
      <w:r>
        <w:rPr>
          <w:rFonts w:ascii="Times New Roman" w:cs="Times New Roman" w:eastAsia="Times New Roman" w:hAnsi="Times New Roman"/>
          <w:sz w:val="18"/>
          <w:szCs w:val="18"/>
          <w:color w:val="131313"/>
        </w:rPr>
        <w:t xml:space="preserve">ned registrant undertakes that in a primary offering of securities of the undersigned registrant pursuant to this registration statement, regardless of the underwriting method used to sell the securities to the purchaser, if the securities are offered or </w:t>
      </w:r>
      <w:r>
        <w:rPr>
          <w:rFonts w:ascii="Times New Roman" w:cs="Times New Roman" w:eastAsia="Times New Roman" w:hAnsi="Times New Roman"/>
          <w:sz w:val="18"/>
          <w:szCs w:val="18"/>
          <w:color w:val="332F2F"/>
        </w:rPr>
        <w:t>sold</w:t>
      </w:r>
      <w:r>
        <w:rPr>
          <w:rFonts w:ascii="Times New Roman" w:cs="Times New Roman" w:eastAsia="Times New Roman" w:hAnsi="Times New Roman"/>
          <w:sz w:val="18"/>
          <w:szCs w:val="18"/>
          <w:color w:val="131313"/>
        </w:rPr>
        <w:t xml:space="preserve"> to such purchaser by means of any of the following communications, the undersigned regi</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trant will be a seller to the purchaser and will be considered to offer or sell such securities to such purchaser:</w:t>
      </w:r>
    </w:p>
    <w:p>
      <w:pPr>
        <w:spacing w:after="0" w:line="177" w:lineRule="exact"/>
        <w:rPr>
          <w:sz w:val="20"/>
          <w:szCs w:val="20"/>
          <w:color w:val="auto"/>
        </w:rPr>
      </w:pPr>
    </w:p>
    <w:p>
      <w:pPr>
        <w:ind w:left="1520" w:hanging="500"/>
        <w:spacing w:after="0" w:line="297" w:lineRule="auto"/>
        <w:tabs>
          <w:tab w:leader="none" w:pos="1520" w:val="left"/>
        </w:tabs>
        <w:numPr>
          <w:ilvl w:val="1"/>
          <w:numId w:val="29"/>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Any preliminary prospectus or prospectus of the undersigned registrant relating to the offering required to be filed pursuant to Rule 424;</w:t>
      </w:r>
    </w:p>
    <w:p>
      <w:pPr>
        <w:spacing w:after="0" w:line="162" w:lineRule="exact"/>
        <w:rPr>
          <w:rFonts w:ascii="Times New Roman" w:cs="Times New Roman" w:eastAsia="Times New Roman" w:hAnsi="Times New Roman"/>
          <w:sz w:val="18"/>
          <w:szCs w:val="18"/>
          <w:color w:val="332F2F"/>
        </w:rPr>
      </w:pPr>
    </w:p>
    <w:p>
      <w:pPr>
        <w:ind w:left="1520" w:right="20" w:hanging="500"/>
        <w:spacing w:after="0" w:line="297" w:lineRule="auto"/>
        <w:tabs>
          <w:tab w:leader="none" w:pos="1520" w:val="left"/>
        </w:tabs>
        <w:numPr>
          <w:ilvl w:val="1"/>
          <w:numId w:val="29"/>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Any free writing prospectus relating to the offering prepared by or on behalf of the undersigned registrant or used or referred to by the undersigned registrant;</w:t>
      </w:r>
    </w:p>
    <w:p>
      <w:pPr>
        <w:spacing w:after="0" w:line="162" w:lineRule="exact"/>
        <w:rPr>
          <w:rFonts w:ascii="Times New Roman" w:cs="Times New Roman" w:eastAsia="Times New Roman" w:hAnsi="Times New Roman"/>
          <w:sz w:val="18"/>
          <w:szCs w:val="18"/>
          <w:color w:val="332F2F"/>
        </w:rPr>
      </w:pPr>
    </w:p>
    <w:p>
      <w:pPr>
        <w:ind w:left="1520" w:hanging="500"/>
        <w:spacing w:after="0" w:line="297" w:lineRule="auto"/>
        <w:tabs>
          <w:tab w:leader="none" w:pos="1520" w:val="left"/>
        </w:tabs>
        <w:numPr>
          <w:ilvl w:val="1"/>
          <w:numId w:val="29"/>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The portion of any other free writing prospectus relating to the offering containing material information about the undersigned registrant or its securities provided by or on beha</w:t>
      </w:r>
      <w:r>
        <w:rPr>
          <w:rFonts w:ascii="Times New Roman" w:cs="Times New Roman" w:eastAsia="Times New Roman" w:hAnsi="Times New Roman"/>
          <w:sz w:val="18"/>
          <w:szCs w:val="18"/>
          <w:color w:val="131313"/>
        </w:rPr>
        <w:t>l</w:t>
      </w:r>
      <w:r>
        <w:rPr>
          <w:rFonts w:ascii="Times New Roman" w:cs="Times New Roman" w:eastAsia="Times New Roman" w:hAnsi="Times New Roman"/>
          <w:sz w:val="18"/>
          <w:szCs w:val="18"/>
          <w:color w:val="332F2F"/>
        </w:rPr>
        <w:t>f of the undersigned registrant; and</w:t>
      </w:r>
    </w:p>
    <w:p>
      <w:pPr>
        <w:spacing w:after="0" w:line="162" w:lineRule="exact"/>
        <w:rPr>
          <w:rFonts w:ascii="Times New Roman" w:cs="Times New Roman" w:eastAsia="Times New Roman" w:hAnsi="Times New Roman"/>
          <w:sz w:val="18"/>
          <w:szCs w:val="18"/>
          <w:color w:val="332F2F"/>
        </w:rPr>
      </w:pPr>
    </w:p>
    <w:p>
      <w:pPr>
        <w:ind w:left="1520" w:hanging="500"/>
        <w:spacing w:after="0"/>
        <w:tabs>
          <w:tab w:leader="none" w:pos="1520" w:val="left"/>
        </w:tabs>
        <w:numPr>
          <w:ilvl w:val="1"/>
          <w:numId w:val="29"/>
        </w:numPr>
        <w:rPr>
          <w:rFonts w:ascii="Times New Roman" w:cs="Times New Roman" w:eastAsia="Times New Roman" w:hAnsi="Times New Roman"/>
          <w:sz w:val="18"/>
          <w:szCs w:val="18"/>
          <w:color w:val="332F2F"/>
        </w:rPr>
      </w:pPr>
      <w:r>
        <w:rPr>
          <w:rFonts w:ascii="Times New Roman" w:cs="Times New Roman" w:eastAsia="Times New Roman" w:hAnsi="Times New Roman"/>
          <w:sz w:val="18"/>
          <w:szCs w:val="18"/>
          <w:color w:val="332F2F"/>
        </w:rPr>
        <w:t>Any other communication that is an offer in the offering made by the undersigned registrant to the purchaser.</w:t>
      </w:r>
    </w:p>
    <w:p>
      <w:pPr>
        <w:spacing w:after="0" w:line="248" w:lineRule="exact"/>
        <w:rPr>
          <w:rFonts w:ascii="Times New Roman" w:cs="Times New Roman" w:eastAsia="Times New Roman" w:hAnsi="Times New Roman"/>
          <w:sz w:val="18"/>
          <w:szCs w:val="18"/>
          <w:color w:val="332F2F"/>
        </w:rPr>
      </w:pPr>
    </w:p>
    <w:p>
      <w:pPr>
        <w:jc w:val="both"/>
        <w:ind w:left="340" w:hanging="332"/>
        <w:spacing w:after="0" w:line="278" w:lineRule="auto"/>
        <w:tabs>
          <w:tab w:leader="none" w:pos="340" w:val="left"/>
        </w:tabs>
        <w:numPr>
          <w:ilvl w:val="0"/>
          <w:numId w:val="30"/>
        </w:numPr>
        <w:rPr>
          <w:rFonts w:ascii="Times New Roman" w:cs="Times New Roman" w:eastAsia="Times New Roman" w:hAnsi="Times New Roman"/>
          <w:sz w:val="18"/>
          <w:szCs w:val="18"/>
          <w:b w:val="1"/>
          <w:bCs w:val="1"/>
          <w:color w:val="332F2F"/>
        </w:rPr>
      </w:pPr>
      <w:r>
        <w:rPr>
          <w:rFonts w:ascii="Times New Roman" w:cs="Times New Roman" w:eastAsia="Times New Roman" w:hAnsi="Times New Roman"/>
          <w:sz w:val="18"/>
          <w:szCs w:val="18"/>
          <w:b w:val="1"/>
          <w:bCs w:val="1"/>
          <w:color w:val="332F2F"/>
        </w:rPr>
        <w:t xml:space="preserve">STM </w:t>
      </w:r>
      <w:r>
        <w:rPr>
          <w:rFonts w:ascii="Times New Roman" w:cs="Times New Roman" w:eastAsia="Times New Roman" w:hAnsi="Times New Roman"/>
          <w:sz w:val="18"/>
          <w:szCs w:val="18"/>
          <w:b w:val="1"/>
          <w:bCs w:val="1"/>
          <w:color w:val="0F0F0F"/>
        </w:rPr>
        <w:t>hereby undertakes</w:t>
      </w:r>
      <w:r>
        <w:rPr>
          <w:rFonts w:ascii="Times New Roman" w:cs="Times New Roman" w:eastAsia="Times New Roman" w:hAnsi="Times New Roman"/>
          <w:sz w:val="18"/>
          <w:szCs w:val="18"/>
          <w:b w:val="1"/>
          <w:bCs w:val="1"/>
          <w:color w:val="131313"/>
        </w:rPr>
        <w:t>:</w:t>
      </w:r>
      <w:r>
        <w:rPr>
          <w:rFonts w:ascii="Times New Roman" w:cs="Times New Roman" w:eastAsia="Times New Roman" w:hAnsi="Times New Roman"/>
          <w:sz w:val="18"/>
          <w:szCs w:val="18"/>
          <w:b w:val="1"/>
          <w:bCs w:val="1"/>
          <w:color w:val="332F2F"/>
        </w:rPr>
        <w:t xml:space="preserve"> </w:t>
      </w:r>
      <w:r>
        <w:rPr>
          <w:rFonts w:ascii="Times New Roman" w:cs="Times New Roman" w:eastAsia="Times New Roman" w:hAnsi="Times New Roman"/>
          <w:sz w:val="18"/>
          <w:szCs w:val="18"/>
          <w:color w:val="332F2F"/>
        </w:rPr>
        <w:t>that, for purposes of determining any liability under the Securities Act of 1933, each filing of the registrant's annual report</w:t>
      </w:r>
      <w:r>
        <w:rPr>
          <w:rFonts w:ascii="Times New Roman" w:cs="Times New Roman" w:eastAsia="Times New Roman" w:hAnsi="Times New Roman"/>
          <w:sz w:val="18"/>
          <w:szCs w:val="18"/>
          <w:b w:val="1"/>
          <w:bCs w:val="1"/>
          <w:color w:val="332F2F"/>
        </w:rPr>
        <w:t xml:space="preserve"> </w:t>
      </w:r>
      <w:r>
        <w:rPr>
          <w:rFonts w:ascii="Times New Roman" w:cs="Times New Roman" w:eastAsia="Times New Roman" w:hAnsi="Times New Roman"/>
          <w:sz w:val="18"/>
          <w:szCs w:val="18"/>
          <w:color w:val="332F2F"/>
        </w:rPr>
        <w:t>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5" w:name="page46"/>
    <w:bookmarkEnd w:id="45"/>
    <w:p>
      <w:pPr>
        <w:jc w:val="both"/>
        <w:ind w:firstLine="510"/>
        <w:spacing w:after="0" w:line="245" w:lineRule="auto"/>
        <w:rPr>
          <w:sz w:val="20"/>
          <w:szCs w:val="20"/>
          <w:color w:val="auto"/>
        </w:rPr>
      </w:pPr>
      <w:r>
        <w:rPr>
          <w:rFonts w:ascii="Times New Roman" w:cs="Times New Roman" w:eastAsia="Times New Roman" w:hAnsi="Times New Roman"/>
          <w:sz w:val="18"/>
          <w:szCs w:val="18"/>
          <w:color w:val="131313"/>
        </w:rPr>
        <w:t>In</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ofar as indemnification for liabilities arising under the Securities Act may be permitted to directors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officers and controlling persons of the registrant pursuant to the foregoing provisions</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or otherwise</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the re</w:t>
      </w:r>
      <w:r>
        <w:rPr>
          <w:rFonts w:ascii="Times New Roman" w:cs="Times New Roman" w:eastAsia="Times New Roman" w:hAnsi="Times New Roman"/>
          <w:sz w:val="18"/>
          <w:szCs w:val="18"/>
          <w:color w:val="332F2F"/>
        </w:rPr>
        <w:t>g</w:t>
      </w:r>
      <w:r>
        <w:rPr>
          <w:rFonts w:ascii="Times New Roman" w:cs="Times New Roman" w:eastAsia="Times New Roman" w:hAnsi="Times New Roman"/>
          <w:sz w:val="18"/>
          <w:szCs w:val="18"/>
          <w:color w:val="131313"/>
        </w:rPr>
        <w:t>istrant has been advised that in the opinion of the SEC such indemnification is a</w:t>
      </w:r>
      <w:r>
        <w:rPr>
          <w:rFonts w:ascii="Times New Roman" w:cs="Times New Roman" w:eastAsia="Times New Roman" w:hAnsi="Times New Roman"/>
          <w:sz w:val="18"/>
          <w:szCs w:val="18"/>
          <w:color w:val="332F2F"/>
        </w:rPr>
        <w:t>g</w:t>
      </w:r>
      <w:r>
        <w:rPr>
          <w:rFonts w:ascii="Times New Roman" w:cs="Times New Roman" w:eastAsia="Times New Roman" w:hAnsi="Times New Roman"/>
          <w:sz w:val="18"/>
          <w:szCs w:val="18"/>
          <w:color w:val="131313"/>
        </w:rPr>
        <w:t xml:space="preserve">ainst public policy as expressed in the Securities </w:t>
      </w:r>
      <w:r>
        <w:rPr>
          <w:rFonts w:ascii="Times New Roman" w:cs="Times New Roman" w:eastAsia="Times New Roman" w:hAnsi="Times New Roman"/>
          <w:sz w:val="18"/>
          <w:szCs w:val="18"/>
          <w:color w:val="332F2F"/>
        </w:rPr>
        <w:t>A</w:t>
      </w:r>
      <w:r>
        <w:rPr>
          <w:rFonts w:ascii="Times New Roman" w:cs="Times New Roman" w:eastAsia="Times New Roman" w:hAnsi="Times New Roman"/>
          <w:sz w:val="18"/>
          <w:szCs w:val="18"/>
          <w:color w:val="131313"/>
        </w:rPr>
        <w:t>ct and is, therefore</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unenforceable. In the event that a claim for indemnification against such liabilities (other than the payment by the registrant of expenses incurred or paid by a dir</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ctor, officer or controlling p</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rson of the registrant in the successful defense of an</w:t>
      </w:r>
      <w:r>
        <w:rPr>
          <w:rFonts w:ascii="Times New Roman" w:cs="Times New Roman" w:eastAsia="Times New Roman" w:hAnsi="Times New Roman"/>
          <w:sz w:val="18"/>
          <w:szCs w:val="18"/>
          <w:color w:val="332F2F"/>
        </w:rPr>
        <w:t>y</w:t>
      </w:r>
      <w:r>
        <w:rPr>
          <w:rFonts w:ascii="Times New Roman" w:cs="Times New Roman" w:eastAsia="Times New Roman" w:hAnsi="Times New Roman"/>
          <w:sz w:val="18"/>
          <w:szCs w:val="18"/>
          <w:color w:val="131313"/>
        </w:rPr>
        <w:t xml:space="preserve"> action</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suit or proceeding) is asserted b</w:t>
      </w:r>
      <w:r>
        <w:rPr>
          <w:rFonts w:ascii="Times New Roman" w:cs="Times New Roman" w:eastAsia="Times New Roman" w:hAnsi="Times New Roman"/>
          <w:sz w:val="18"/>
          <w:szCs w:val="18"/>
          <w:color w:val="332F2F"/>
        </w:rPr>
        <w:t>y</w:t>
      </w:r>
      <w:r>
        <w:rPr>
          <w:rFonts w:ascii="Times New Roman" w:cs="Times New Roman" w:eastAsia="Times New Roman" w:hAnsi="Times New Roman"/>
          <w:sz w:val="18"/>
          <w:szCs w:val="18"/>
          <w:color w:val="131313"/>
        </w:rPr>
        <w:t xml:space="preserve"> such dir</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ctor, offic</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 xml:space="preserve">r or controlling person in connection with the </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ecurities being regist</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red, the registrant will</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unl</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ss in the opinion of its couns</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l the matt</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r has been settled by controlling precedent</w:t>
      </w:r>
      <w:r>
        <w:rPr>
          <w:rFonts w:ascii="Times New Roman" w:cs="Times New Roman" w:eastAsia="Times New Roman" w:hAnsi="Times New Roman"/>
          <w:sz w:val="18"/>
          <w:szCs w:val="18"/>
          <w:color w:val="332F2F"/>
        </w:rPr>
        <w:t>,</w:t>
      </w:r>
      <w:r>
        <w:rPr>
          <w:rFonts w:ascii="Times New Roman" w:cs="Times New Roman" w:eastAsia="Times New Roman" w:hAnsi="Times New Roman"/>
          <w:sz w:val="18"/>
          <w:szCs w:val="18"/>
          <w:color w:val="131313"/>
        </w:rPr>
        <w:t xml:space="preserve"> submit to a court of appropriate jurisdiction the question wheth</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r such ind</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mnification by it i</w:t>
      </w:r>
      <w:r>
        <w:rPr>
          <w:rFonts w:ascii="Times New Roman" w:cs="Times New Roman" w:eastAsia="Times New Roman" w:hAnsi="Times New Roman"/>
          <w:sz w:val="18"/>
          <w:szCs w:val="18"/>
          <w:color w:val="332F2F"/>
        </w:rPr>
        <w:t>s</w:t>
      </w:r>
      <w:r>
        <w:rPr>
          <w:rFonts w:ascii="Times New Roman" w:cs="Times New Roman" w:eastAsia="Times New Roman" w:hAnsi="Times New Roman"/>
          <w:sz w:val="18"/>
          <w:szCs w:val="18"/>
          <w:color w:val="131313"/>
        </w:rPr>
        <w:t xml:space="preserve"> against public policy as expr</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ssed in th</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 xml:space="preserve"> Act and will be gov</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rned by th</w:t>
      </w:r>
      <w:r>
        <w:rPr>
          <w:rFonts w:ascii="Times New Roman" w:cs="Times New Roman" w:eastAsia="Times New Roman" w:hAnsi="Times New Roman"/>
          <w:sz w:val="18"/>
          <w:szCs w:val="18"/>
          <w:color w:val="332F2F"/>
        </w:rPr>
        <w:t>e</w:t>
      </w:r>
      <w:r>
        <w:rPr>
          <w:rFonts w:ascii="Times New Roman" w:cs="Times New Roman" w:eastAsia="Times New Roman" w:hAnsi="Times New Roman"/>
          <w:sz w:val="18"/>
          <w:szCs w:val="18"/>
          <w:color w:val="131313"/>
        </w:rPr>
        <w:t xml:space="preserv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SIGNATURES</w:t>
      </w:r>
    </w:p>
    <w:p>
      <w:pPr>
        <w:spacing w:after="0" w:line="21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111111"/>
        </w:rPr>
        <w:t>Pursuant to the requirements of the Securities Act of 1933, the registrant certifies that it has reasonable grounds to believe that it meets all of the requirements for filing on Form F-3 and has duly caused this registrations statement to be signed on its behalf by the undersigned, thereunto duly authorized, in Amsterdam, The Netherlands on March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200" w:lineRule="exact"/>
        <w:rPr>
          <w:sz w:val="20"/>
          <w:szCs w:val="20"/>
          <w:color w:val="auto"/>
        </w:rPr>
      </w:pPr>
    </w:p>
    <w:p>
      <w:pPr>
        <w:spacing w:after="0" w:line="245" w:lineRule="exact"/>
        <w:rPr>
          <w:sz w:val="20"/>
          <w:szCs w:val="20"/>
          <w:color w:val="auto"/>
        </w:rPr>
      </w:pPr>
    </w:p>
    <w:p>
      <w:pPr>
        <w:ind w:left="616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Jean 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Name:Jean Marc Chery</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of the Managing Board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131313"/>
        </w:rPr>
        <w:t>POWER OF ATTORNEY</w:t>
      </w:r>
    </w:p>
    <w:p>
      <w:pPr>
        <w:spacing w:after="0" w:line="216"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8"/>
          <w:szCs w:val="18"/>
          <w:color w:val="131313"/>
        </w:rPr>
        <w:t>Each of the undersigned individuals hereby severally constitutes and appoints each of Philippe Dereeper, Giuseppe Amodio, Denise Tuinfort and any one or more of them as the attorney-in-fact and agent for the undersigned, in any and all capacities, with full power of substitution and re-substitution, to sign any and all pre- or post-effective amendments to this registration statement, any subsequent registration statement for the same offering which may be filed pursuant to Rule 462 under the U.S. Securities Act of 1933, as amended, and any and all pre- or post-effective amendments thereto, and to file the same with exhibits thereto and other documents in connection therewith, with the Securities and Exchange Commission</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131313"/>
        </w:rPr>
        <w:t xml:space="preserve"> granting unto said attorneys-in-fact and agents, and each of them</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131313"/>
        </w:rPr>
        <w:t xml:space="preserve">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79"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131313"/>
        </w:rPr>
        <w:t>Pursuant to the requirements of the U.S. Securities Act of 1933, this registration statement has been signed by the following persons in the capacities and on the dates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640" w:type="dxa"/>
            <w:vAlign w:val="bottom"/>
          </w:tcPr>
          <w:p>
            <w:pPr>
              <w:ind w:left="12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18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18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264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Jean 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68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875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712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Thierry Vigne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Nicolas Dufourcq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Armando Varricchio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54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Simonetta Acri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68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875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Orio Bellezza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62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2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1440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1440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Werner Lieberherr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Frédéric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770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Hélène Vletter-van Dort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801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Jean Marc Chery</w:t>
      </w:r>
    </w:p>
    <w:p>
      <w:pPr>
        <w:spacing w:after="0" w:line="35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color w:val="auto"/>
        </w:rPr>
        <w:t>Lorenzo Grandi</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Thierry Vigne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Nicolas Dufourcq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Armando Varricchio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Simonetta Acri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Orio Bellezza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Pascal Daloz</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 de Pro Gonzalo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Werner Lieberherr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Frédéric Sanchez</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Hélène Vletter-van Dort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17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102"/>
        </w:trPr>
        <w:tc>
          <w:tcPr>
            <w:tcW w:w="3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and Chairman of the Managing Board</w:t>
            </w: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Financial Officer,</w:t>
            </w:r>
          </w:p>
        </w:tc>
        <w:tc>
          <w:tcPr>
            <w:tcW w:w="17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102"/>
        </w:trPr>
        <w:tc>
          <w:tcPr>
            <w:tcW w:w="3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and Member of the Managing Board</w:t>
            </w: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Vice Chairman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7"/>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72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8"/>
              </w:rPr>
              <w:t>March 25,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500" w:space="720"/>
            <w:col w:w="1640" w:space="720"/>
            <w:col w:w="5660"/>
          </w:cols>
          <w:pgMar w:left="320" w:top="684" w:right="339" w:bottom="1440" w:gutter="0" w:footer="0" w:header="0"/>
          <w:type w:val="continuous"/>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8" w:name="page49"/>
    <w:bookmarkEnd w:id="48"/>
    <w:p>
      <w:pPr>
        <w:jc w:val="center"/>
        <w:ind w:left="380"/>
        <w:spacing w:after="0"/>
        <w:rPr>
          <w:sz w:val="20"/>
          <w:szCs w:val="20"/>
          <w:color w:val="auto"/>
        </w:rPr>
      </w:pPr>
      <w:r>
        <w:rPr>
          <w:rFonts w:ascii="Times New Roman" w:cs="Times New Roman" w:eastAsia="Times New Roman" w:hAnsi="Times New Roman"/>
          <w:sz w:val="18"/>
          <w:szCs w:val="18"/>
          <w:b w:val="1"/>
          <w:bCs w:val="1"/>
          <w:color w:val="131313"/>
        </w:rPr>
        <w:t>AUTHORIZED REPRESENTATIVE</w:t>
      </w:r>
    </w:p>
    <w:p>
      <w:pPr>
        <w:spacing w:after="0" w:line="229" w:lineRule="exact"/>
        <w:rPr>
          <w:sz w:val="20"/>
          <w:szCs w:val="20"/>
          <w:color w:val="auto"/>
        </w:rPr>
      </w:pPr>
    </w:p>
    <w:p>
      <w:pPr>
        <w:ind w:firstLine="382"/>
        <w:spacing w:after="0" w:line="297" w:lineRule="auto"/>
        <w:rPr>
          <w:sz w:val="20"/>
          <w:szCs w:val="20"/>
          <w:color w:val="auto"/>
        </w:rPr>
      </w:pPr>
      <w:r>
        <w:rPr>
          <w:rFonts w:ascii="Times New Roman" w:cs="Times New Roman" w:eastAsia="Times New Roman" w:hAnsi="Times New Roman"/>
          <w:sz w:val="18"/>
          <w:szCs w:val="18"/>
          <w:color w:val="131313"/>
        </w:rPr>
        <w:t xml:space="preserve">Pursuant to the requirements of Section 6(a) of the U.S. Securities Act of 1933, as amended, this registration statement has been signed on behalf of the registrant by the undersigned, solely </w:t>
      </w:r>
      <w:r>
        <w:rPr>
          <w:rFonts w:ascii="Times New Roman" w:cs="Times New Roman" w:eastAsia="Times New Roman" w:hAnsi="Times New Roman"/>
          <w:sz w:val="18"/>
          <w:szCs w:val="18"/>
          <w:color w:val="010101"/>
        </w:rPr>
        <w:t>in</w:t>
      </w:r>
      <w:r>
        <w:rPr>
          <w:rFonts w:ascii="Times New Roman" w:cs="Times New Roman" w:eastAsia="Times New Roman" w:hAnsi="Times New Roman"/>
          <w:sz w:val="18"/>
          <w:szCs w:val="18"/>
          <w:color w:val="131313"/>
        </w:rPr>
        <w:t xml:space="preserve"> his capacity as the duly authorized representative of the registrant in the United States, on </w:t>
      </w:r>
      <w:r>
        <w:rPr>
          <w:rFonts w:ascii="Times New Roman" w:cs="Times New Roman" w:eastAsia="Times New Roman" w:hAnsi="Times New Roman"/>
          <w:sz w:val="16"/>
          <w:szCs w:val="16"/>
          <w:color w:val="000000"/>
        </w:rPr>
        <w:t>March 25</w:t>
      </w:r>
      <w:r>
        <w:rPr>
          <w:rFonts w:ascii="Times New Roman" w:cs="Times New Roman" w:eastAsia="Times New Roman" w:hAnsi="Times New Roman"/>
          <w:sz w:val="18"/>
          <w:szCs w:val="18"/>
          <w:color w:val="131313"/>
        </w:rPr>
        <w:t>, 2026.</w:t>
      </w:r>
    </w:p>
    <w:p>
      <w:pPr>
        <w:spacing w:after="0" w:line="37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200" w:lineRule="exact"/>
        <w:rPr>
          <w:sz w:val="20"/>
          <w:szCs w:val="20"/>
          <w:color w:val="auto"/>
        </w:rPr>
      </w:pPr>
    </w:p>
    <w:p>
      <w:pPr>
        <w:spacing w:after="0" w:line="245" w:lineRule="exact"/>
        <w:rPr>
          <w:sz w:val="20"/>
          <w:szCs w:val="20"/>
          <w:color w:val="auto"/>
        </w:rPr>
      </w:pPr>
    </w:p>
    <w:p>
      <w:pPr>
        <w:ind w:left="616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Rino Peruzzi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Name:Rino Peruzzi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874395" cy="685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874395" cy="68580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000080"/>
        </w:rPr>
        <w:t>STMicroelectronics N.V.</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000080"/>
        </w:rPr>
        <w:t>Articles of Association</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000080"/>
        </w:rPr>
        <w:t>(translation into English of the original Dutch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697865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line="344" w:lineRule="auto"/>
        <w:rPr>
          <w:sz w:val="20"/>
          <w:szCs w:val="20"/>
          <w:color w:val="auto"/>
        </w:rPr>
      </w:pPr>
      <w:r>
        <w:rPr>
          <w:rFonts w:ascii="Times New Roman" w:cs="Times New Roman" w:eastAsia="Times New Roman" w:hAnsi="Times New Roman"/>
          <w:sz w:val="19"/>
          <w:szCs w:val="19"/>
          <w:i w:val="1"/>
          <w:iCs w:val="1"/>
          <w:color w:val="auto"/>
        </w:rPr>
        <w:t>This is a translation into English of the official Dutch version of a deed of amendment to the articles of association of a public limited liability company under Dutch law. In the event of a conflict between the English and Dutch texts, the Dutch text shall prevail.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DEED OF AMENDMENT TO THE ARTICLES OF ASSOCIATION OF</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STMICROELECTRONICS N.V.</w:t>
      </w:r>
    </w:p>
    <w:p>
      <w:pPr>
        <w:spacing w:after="0" w:line="200" w:lineRule="exact"/>
        <w:rPr>
          <w:sz w:val="20"/>
          <w:szCs w:val="20"/>
          <w:color w:val="auto"/>
        </w:rPr>
      </w:pPr>
    </w:p>
    <w:p>
      <w:pPr>
        <w:spacing w:after="0" w:line="38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20"/>
          <w:szCs w:val="20"/>
          <w:color w:val="auto"/>
        </w:rPr>
        <w:t>On this day, the twenty-second day of May two thousand and twenty-four, appeared before me, Paul Cornelis Simon van der Bijl, civil law notary at Amsterdam:</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Mechteld Suzette Flohil, born in 's-Gravenhage, on the twenty-first day of September nineteen hundred and eighty-one, working at the offices of NautaDutilh N.V. located at Beethovenstraat 400, 1082 PR Amsterdam.</w:t>
      </w:r>
    </w:p>
    <w:p>
      <w:pPr>
        <w:spacing w:after="0" w:line="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 xml:space="preserve">I, civil law notary, attended a general meeting, held on the date hereof, of </w:t>
      </w:r>
      <w:r>
        <w:rPr>
          <w:rFonts w:ascii="Times New Roman" w:cs="Times New Roman" w:eastAsia="Times New Roman" w:hAnsi="Times New Roman"/>
          <w:sz w:val="20"/>
          <w:szCs w:val="20"/>
          <w:b w:val="1"/>
          <w:bCs w:val="1"/>
          <w:color w:val="auto"/>
        </w:rPr>
        <w:t>STMicroelectronics N.V.</w:t>
      </w:r>
      <w:r>
        <w:rPr>
          <w:rFonts w:ascii="Times New Roman" w:cs="Times New Roman" w:eastAsia="Times New Roman" w:hAnsi="Times New Roman"/>
          <w:sz w:val="20"/>
          <w:szCs w:val="20"/>
          <w:color w:val="auto"/>
        </w:rPr>
        <w:t>, a public limited liability company, having its corporate seat at Amsterdam (address: Schiphol Boulevard 265, 1118 BH Schiphol, trade register number: 33194537)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where it was resolved to amend the Company's articles of association in their entirety as set out below.</w:t>
      </w:r>
    </w:p>
    <w:p>
      <w:pPr>
        <w:ind w:right="620"/>
        <w:spacing w:after="0" w:line="281" w:lineRule="auto"/>
        <w:rPr>
          <w:sz w:val="20"/>
          <w:szCs w:val="20"/>
          <w:color w:val="auto"/>
        </w:rPr>
      </w:pPr>
      <w:r>
        <w:rPr>
          <w:rFonts w:ascii="Times New Roman" w:cs="Times New Roman" w:eastAsia="Times New Roman" w:hAnsi="Times New Roman"/>
          <w:sz w:val="20"/>
          <w:szCs w:val="20"/>
          <w:color w:val="auto"/>
        </w:rPr>
        <w:t>The Company's articles of association were most recently amended by a deed executed on the twentieth day of June two thousand and seventeen, before Wijnand Hendrik Bossenbroek, civil law notary at Amsterdam.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order to carry out the abovementioned resolution to amend the articles of association, the person appearing declared to amend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articles of association in their entirety, as set out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Name, seat and duration.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The name of the company is: STMicroelectronics N.V.</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The company is established in Amsterdam.</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 company will continue for an indefinite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Objects</w:t>
      </w:r>
      <w:r>
        <w:rPr>
          <w:rFonts w:ascii="Times New Roman" w:cs="Times New Roman" w:eastAsia="Times New Roman" w:hAnsi="Times New Roman"/>
          <w:sz w:val="20"/>
          <w:szCs w:val="20"/>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w:t>
      </w:r>
    </w:p>
    <w:p>
      <w:pPr>
        <w:spacing w:after="0" w:line="1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0"/>
          <w:szCs w:val="20"/>
          <w:color w:val="auto"/>
        </w:rPr>
        <w:t>The objects of the company shall be to participate or take in any manner any interests in other business enterprises, to manage such enterprises, to carry on the business in semi-conductors and electronic devices, to take and grant licenses and other industrial property interests, assume commitments in the name of any enterprises with which it may be associated within a group of companies, to take financial interests in such enterprises and to take any other action, such as but not limited to the granting of securities or the undertaking of obligations on behalf of third parties, which in the broadest sense of the term, may be related or contribute to the aforesaid objects.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Share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w:t>
      </w:r>
    </w:p>
    <w:p>
      <w:pPr>
        <w:spacing w:after="0" w:line="13" w:lineRule="exact"/>
        <w:rPr>
          <w:sz w:val="20"/>
          <w:szCs w:val="20"/>
          <w:color w:val="auto"/>
        </w:rPr>
      </w:pPr>
    </w:p>
    <w:p>
      <w:pPr>
        <w:ind w:left="660" w:right="80" w:hanging="647"/>
        <w:spacing w:after="0" w:line="290" w:lineRule="auto"/>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The authorized capital of the company amounts to one billion eight hundred nine million six hundred thousand euro (EUR 1,809,600,000), consisting of one billion two hundred million (1,200,000,000) ordinary shares and five hundred forty million (540,000,000) cumulative preference shares, hereinafter referred to as: preference shares, of one euro and four eurocents (EUR 1.04)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1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Where in these articles of association reference is made to shares and shareholders this shall include the shares of each class as well as the holders of shares of each class respectively, unless explicitly provided otherwise.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Issue of shares.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4.</w:t>
      </w:r>
    </w:p>
    <w:p>
      <w:pPr>
        <w:spacing w:after="0" w:line="13" w:lineRule="exact"/>
        <w:rPr>
          <w:sz w:val="20"/>
          <w:szCs w:val="20"/>
          <w:color w:val="auto"/>
        </w:rPr>
      </w:pPr>
    </w:p>
    <w:p>
      <w:pPr>
        <w:jc w:val="center"/>
        <w:ind w:right="40"/>
        <w:spacing w:after="0"/>
        <w:tabs>
          <w:tab w:leader="none" w:pos="3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The supervisory board shall have the power to issue shares and to determine the terms and conditions of such issue if and in so far as</w:t>
      </w:r>
    </w:p>
    <w:p>
      <w:pPr>
        <w:spacing w:after="0" w:line="38" w:lineRule="exact"/>
        <w:rPr>
          <w:sz w:val="20"/>
          <w:szCs w:val="20"/>
          <w:color w:val="auto"/>
        </w:rPr>
      </w:pPr>
    </w:p>
    <w:p>
      <w:pPr>
        <w:ind w:left="660" w:right="300"/>
        <w:spacing w:after="0" w:line="296" w:lineRule="auto"/>
        <w:rPr>
          <w:sz w:val="20"/>
          <w:szCs w:val="20"/>
          <w:color w:val="auto"/>
        </w:rPr>
      </w:pPr>
      <w:r>
        <w:rPr>
          <w:rFonts w:ascii="Times New Roman" w:cs="Times New Roman" w:eastAsia="Times New Roman" w:hAnsi="Times New Roman"/>
          <w:sz w:val="20"/>
          <w:szCs w:val="20"/>
          <w:color w:val="auto"/>
        </w:rPr>
        <w:t>the supervisory board has been designated by the general meeting of shareholders as the authorized body for this purpose. A designation as referred to above shall only take place for a specific period of no more than five years and may not be extended by more than five years on each occasion.</w:t>
      </w:r>
    </w:p>
    <w:p>
      <w:pPr>
        <w:spacing w:after="0" w:line="67" w:lineRule="exact"/>
        <w:rPr>
          <w:sz w:val="20"/>
          <w:szCs w:val="20"/>
          <w:color w:val="auto"/>
        </w:rPr>
      </w:pPr>
    </w:p>
    <w:p>
      <w:pPr>
        <w:ind w:left="6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If a designation as referred to in the first paragraph is not in force, the general meeting of shareholders shall have the power, upon the proposal of and on the terms and conditions set by the supervisory board to resolve to issue shares.</w:t>
      </w:r>
    </w:p>
    <w:p>
      <w:pPr>
        <w:spacing w:after="0" w:line="52" w:lineRule="exact"/>
        <w:rPr>
          <w:sz w:val="20"/>
          <w:szCs w:val="20"/>
          <w:color w:val="auto"/>
        </w:rPr>
      </w:pPr>
    </w:p>
    <w:p>
      <w:pPr>
        <w:ind w:left="660" w:right="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In the event of an issue of ordinary shares, shareholders shall have a pre-emptive right in proportion to the number of ordinary shares which they own, notwithstanding the provisions of the law. In respect of the issue of shares there shall be no pre-emptive right to shares issued against a contribution other than in cash or issued to employees of the company or of a group company.</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the event of an issue of preference shares none of the shareholders shall have a pre-emptive right.</w:t>
      </w:r>
    </w:p>
    <w:p>
      <w:pPr>
        <w:spacing w:after="0" w:line="22" w:lineRule="exact"/>
        <w:rPr>
          <w:sz w:val="20"/>
          <w:szCs w:val="20"/>
          <w:color w:val="auto"/>
        </w:rPr>
      </w:pPr>
    </w:p>
    <w:p>
      <w:pPr>
        <w:ind w:left="660" w:right="120"/>
        <w:spacing w:after="0" w:line="241" w:lineRule="auto"/>
        <w:rPr>
          <w:sz w:val="20"/>
          <w:szCs w:val="20"/>
          <w:color w:val="auto"/>
        </w:rPr>
      </w:pPr>
      <w:r>
        <w:rPr>
          <w:rFonts w:ascii="Times New Roman" w:cs="Times New Roman" w:eastAsia="Times New Roman" w:hAnsi="Times New Roman"/>
          <w:sz w:val="20"/>
          <w:szCs w:val="20"/>
          <w:color w:val="auto"/>
        </w:rPr>
        <w:t>The supervisory board shall have the power to limit or exclude the pre-emptive right accruing to shareholders, if and in so far as the supervisory board has also been designated by the general meeting of shareholders for this purpose as the authorized body for the period of such designation. The provisions in the second sentence of the first paragraph shall equally apply.</w:t>
      </w:r>
    </w:p>
    <w:p>
      <w:pPr>
        <w:spacing w:after="0" w:line="3" w:lineRule="exact"/>
        <w:rPr>
          <w:sz w:val="20"/>
          <w:szCs w:val="20"/>
          <w:color w:val="auto"/>
        </w:rPr>
      </w:pPr>
    </w:p>
    <w:p>
      <w:pPr>
        <w:ind w:left="660" w:right="22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If a designation as referred to in the third paragraph is not in force, the general meeting of shareholders shall have the power, upon the proposal of the supervisory board, to limit or exclude the pre-emptive right accruing to shareholders.</w:t>
      </w:r>
    </w:p>
    <w:p>
      <w:pPr>
        <w:spacing w:after="0" w:line="54" w:lineRule="exact"/>
        <w:rPr>
          <w:sz w:val="20"/>
          <w:szCs w:val="20"/>
          <w:color w:val="auto"/>
        </w:rPr>
      </w:pPr>
    </w:p>
    <w:p>
      <w:pPr>
        <w:ind w:left="660" w:right="10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A resolution of the general meeting of shareholders to limit or exclude pre-emptive rights or to designate the supervisory board as authorized to resolve upon limiting or excluding of pre-emptive rights requires a majority of at least two-thirds of the votes cast in a meeting if in such meeting less than one-half of the issued share capital is present or represented.</w:t>
      </w:r>
    </w:p>
    <w:p>
      <w:pPr>
        <w:spacing w:after="0" w:line="67" w:lineRule="exact"/>
        <w:rPr>
          <w:sz w:val="20"/>
          <w:szCs w:val="20"/>
          <w:color w:val="auto"/>
        </w:rPr>
      </w:pPr>
    </w:p>
    <w:p>
      <w:pPr>
        <w:ind w:left="660" w:right="1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Without prejudice to what has been provided in section 80, paragraph 2, Book 2, Dutch Civil Code shares shall at no time be issued below par.</w:t>
      </w:r>
    </w:p>
    <w:p>
      <w:pPr>
        <w:spacing w:after="0" w:line="52" w:lineRule="exact"/>
        <w:rPr>
          <w:sz w:val="20"/>
          <w:szCs w:val="20"/>
          <w:color w:val="auto"/>
        </w:rPr>
      </w:pPr>
    </w:p>
    <w:p>
      <w:pPr>
        <w:ind w:left="660" w:right="1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color w:val="auto"/>
        </w:rPr>
        <w:t>Ordinary shares shall be issued only against payment in full; preference shares may be issued against partial payment, provided that the proportion of the nominal amount that must be paid on each preference share, irrespective of when it was issued, shall be the same and that at least one quarter of the nominal amount is paid up in full when the share is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color w:val="auto"/>
        </w:rPr>
        <w:t>Payment must be made in cash to the extent that no other contribution has been agreed upon. If the company so consents, payment in cash can be made in a foreign currency.</w:t>
      </w:r>
    </w:p>
    <w:p>
      <w:pPr>
        <w:spacing w:after="0" w:line="25" w:lineRule="exact"/>
        <w:rPr>
          <w:sz w:val="20"/>
          <w:szCs w:val="20"/>
          <w:color w:val="auto"/>
        </w:rPr>
      </w:pPr>
    </w:p>
    <w:p>
      <w:pPr>
        <w:jc w:val="both"/>
        <w:ind w:left="660" w:right="500"/>
        <w:spacing w:after="0" w:line="245" w:lineRule="auto"/>
        <w:rPr>
          <w:sz w:val="20"/>
          <w:szCs w:val="20"/>
          <w:color w:val="auto"/>
        </w:rPr>
      </w:pPr>
      <w:r>
        <w:rPr>
          <w:rFonts w:ascii="Times New Roman" w:cs="Times New Roman" w:eastAsia="Times New Roman" w:hAnsi="Times New Roman"/>
          <w:sz w:val="20"/>
          <w:szCs w:val="20"/>
          <w:color w:val="auto"/>
        </w:rPr>
        <w:t>In the event of payment in a foreign currency the obligation to pay is for the amount which can be freely exchanged into Dutch currency. The decisive factor is the rate of exchange on the day of payment, or as the case may be after application of the next sentence, on the day mentioned therein. The company can require payment at the rate of exchange on a certain day within two months prior to the last day when payment shall have to be made provided that the shares or depositary receipts for shares after having been issued - shall immediately be incorporated in the price list of an exchange abroad.</w:t>
      </w:r>
    </w:p>
    <w:p>
      <w:pPr>
        <w:spacing w:after="0" w:line="2" w:lineRule="exact"/>
        <w:rPr>
          <w:sz w:val="20"/>
          <w:szCs w:val="20"/>
          <w:color w:val="auto"/>
        </w:rPr>
      </w:pPr>
    </w:p>
    <w:p>
      <w:pPr>
        <w:ind w:left="660" w:right="16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This article shall equally apply to the granting of rights to subscribe for shares, but shall not apply to the issue of shares to someone who exercises a previously acquired right to subscribe for shares.</w:t>
      </w:r>
    </w:p>
    <w:p>
      <w:pPr>
        <w:spacing w:after="0" w:line="54" w:lineRule="exact"/>
        <w:rPr>
          <w:sz w:val="20"/>
          <w:szCs w:val="20"/>
          <w:color w:val="auto"/>
        </w:rPr>
      </w:pPr>
    </w:p>
    <w:p>
      <w:pPr>
        <w:ind w:left="660" w:right="1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4.10.</w:t>
        <w:tab/>
        <w:t>The managing board shall determine, subject to the approval by the supervisory board, when and in what amount further payment is to be made in respect of partially paid preference shares. The managing board shall notify the shareholders concerned thereof in writing at least thirty days before the date on which the payment must finally be made.</w:t>
      </w:r>
    </w:p>
    <w:p>
      <w:pPr>
        <w:spacing w:after="0" w:line="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The provisions of article 27 paragraph 2 shall apply accordingly to all notifications to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Repurchase and cancellation of shares.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5.</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The company may acquire, for valuable consideration, shares in its own share capital if and in so far as:</w:t>
      </w:r>
    </w:p>
    <w:p>
      <w:pPr>
        <w:spacing w:after="0" w:line="146" w:lineRule="exact"/>
        <w:rPr>
          <w:sz w:val="20"/>
          <w:szCs w:val="20"/>
          <w:color w:val="auto"/>
        </w:rPr>
      </w:pPr>
    </w:p>
    <w:p>
      <w:pPr>
        <w:ind w:left="1300" w:hanging="644"/>
        <w:spacing w:after="0" w:line="281" w:lineRule="auto"/>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equity less the purchase price of these shares is not less than the aggregate amount of the paid up and called up capital and the reserves which must be maintained pursuant to the law;</w:t>
      </w:r>
    </w:p>
    <w:p>
      <w:pPr>
        <w:spacing w:after="0" w:line="1" w:lineRule="exact"/>
        <w:rPr>
          <w:rFonts w:ascii="Times New Roman" w:cs="Times New Roman" w:eastAsia="Times New Roman" w:hAnsi="Times New Roman"/>
          <w:sz w:val="20"/>
          <w:szCs w:val="20"/>
          <w:color w:val="auto"/>
        </w:rPr>
      </w:pPr>
    </w:p>
    <w:p>
      <w:pPr>
        <w:ind w:left="1300" w:right="660" w:hanging="644"/>
        <w:spacing w:after="0" w:line="281" w:lineRule="auto"/>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 value of the shares in its capital which the company acquires, holds or holds in pledge, or which are held by a subsidiary company, amounts to no more than one-tenth of the issued share capital; and</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meeting of shareholders has authorized the managing board to acquire such shares, which authorization may be</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given for no more than eighteen months on each occasion,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further statutory provisions.</w:t>
      </w:r>
    </w:p>
    <w:p>
      <w:pPr>
        <w:spacing w:after="0" w:line="10"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The company may, without being authorized thereto by the general meeting of shareholders and notwithstanding to what is provided in paragraph 1 under a and b, acquire shares in its own share capital in order to transfer those shares to the employees of the company or a group company under a scheme applicable to such employees.</w:t>
      </w:r>
    </w:p>
    <w:p>
      <w:pPr>
        <w:spacing w:after="0" w:line="71" w:lineRule="exact"/>
        <w:rPr>
          <w:sz w:val="20"/>
          <w:szCs w:val="20"/>
          <w:color w:val="auto"/>
        </w:rPr>
      </w:pPr>
    </w:p>
    <w:p>
      <w:pPr>
        <w:ind w:left="660" w:right="3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Shares thus acquired may again be disposed of. The company shall not acquire shares in its own share capital as referred to in paragraph 1 - if an authorization as referred to in such paragraph is in force - or as referred to in paragraph 2 without the prior approval of the supervisory board. The company shall also not dispose of shares in its own share capital - with the exception of shares in the company’s own share capital acquired pursuant to paragraph 2 - without the prior approval of the supervisory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120"/>
        <w:spacing w:after="0" w:line="281" w:lineRule="auto"/>
        <w:rPr>
          <w:sz w:val="20"/>
          <w:szCs w:val="20"/>
          <w:color w:val="auto"/>
        </w:rPr>
      </w:pPr>
      <w:r>
        <w:rPr>
          <w:rFonts w:ascii="Times New Roman" w:cs="Times New Roman" w:eastAsia="Times New Roman" w:hAnsi="Times New Roman"/>
          <w:sz w:val="20"/>
          <w:szCs w:val="20"/>
          <w:color w:val="auto"/>
        </w:rPr>
        <w:t>If depositary receipts for shares in the company have been issued, such depositary receipts shall for the application of the provisions of this paragraph and the preceding paragraph be treated as shares.</w:t>
      </w:r>
    </w:p>
    <w:p>
      <w:pPr>
        <w:spacing w:after="0" w:line="1" w:lineRule="exact"/>
        <w:rPr>
          <w:sz w:val="20"/>
          <w:szCs w:val="20"/>
          <w:color w:val="auto"/>
        </w:rPr>
      </w:pPr>
    </w:p>
    <w:p>
      <w:pPr>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color w:val="auto"/>
        </w:rPr>
        <w:t>In the general meeting of shareholders no votes may be cast in respect of (a) share(s) held by the company or a subsidiary company; no votes may be cast in respect of a share the depositary receipt for which is held by the company or a subsidiary company. However, the holders of a right of usufruct and the holders of a right of pledge on shares held by the company and its subsidiary companies, are nonetheless not excluded from the right to vote such shares, if the right of usufruct or the right of pledge was granted prior to the time such share was held by the company or a subsidiary company. Neither the company nor a subsidiary company may cast votes in respect of a share on which it holds a right of usufruct or a right of pledge.</w:t>
      </w:r>
    </w:p>
    <w:p>
      <w:pPr>
        <w:spacing w:after="0" w:line="51" w:lineRule="exact"/>
        <w:rPr>
          <w:sz w:val="20"/>
          <w:szCs w:val="20"/>
          <w:color w:val="auto"/>
        </w:rPr>
      </w:pPr>
    </w:p>
    <w:p>
      <w:pPr>
        <w:ind w:left="660" w:right="100"/>
        <w:spacing w:after="0" w:line="249" w:lineRule="auto"/>
        <w:rPr>
          <w:sz w:val="20"/>
          <w:szCs w:val="20"/>
          <w:color w:val="auto"/>
        </w:rPr>
      </w:pPr>
      <w:r>
        <w:rPr>
          <w:rFonts w:ascii="Times New Roman" w:cs="Times New Roman" w:eastAsia="Times New Roman" w:hAnsi="Times New Roman"/>
          <w:sz w:val="20"/>
          <w:szCs w:val="20"/>
          <w:color w:val="auto"/>
        </w:rPr>
        <w:t>Shares in respect of which voting rights may not be exercised by law or by the articles of association shall not be taken into account, when determining to what extent the shareholders cast votes, to what extent they are present or represented or to what extent the share capital is provided or represented.</w:t>
      </w:r>
    </w:p>
    <w:p>
      <w:pPr>
        <w:spacing w:after="0" w:line="2" w:lineRule="exact"/>
        <w:rPr>
          <w:sz w:val="20"/>
          <w:szCs w:val="20"/>
          <w:color w:val="auto"/>
        </w:rPr>
      </w:pPr>
    </w:p>
    <w:p>
      <w:pPr>
        <w:ind w:left="660" w:hanging="647"/>
        <w:spacing w:after="0" w:line="288" w:lineRule="auto"/>
        <w:tabs>
          <w:tab w:leader="none" w:pos="6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color w:val="auto"/>
        </w:rPr>
        <w:t>Upon the proposal of the supervisory board the general meeting of shareholders shall, with due regard of the provisions of section 99, Book 2, Dutch Civil Code, have the power to decide to reduce the issued share capital by cancelling shares or by reducing the par value of shares by an amendment to the articles of association. Cancellation of shares with repayment or partial repayment or a release from the obligation to pay up may also take place solely in respect of preference shares. In case of cancellation of preference shares with repayment, a payment on the relevant shares shall be made in the amount of:</w:t>
      </w:r>
    </w:p>
    <w:p>
      <w:pPr>
        <w:spacing w:after="0" w:line="76"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paid up on the relevant shares; increased with</w:t>
      </w:r>
    </w:p>
    <w:p>
      <w:pPr>
        <w:spacing w:after="0" w:line="148" w:lineRule="exact"/>
        <w:rPr>
          <w:rFonts w:ascii="Times New Roman" w:cs="Times New Roman" w:eastAsia="Times New Roman" w:hAnsi="Times New Roman"/>
          <w:sz w:val="20"/>
          <w:szCs w:val="20"/>
          <w:color w:val="auto"/>
        </w:rPr>
      </w:pPr>
    </w:p>
    <w:p>
      <w:pPr>
        <w:ind w:left="1300" w:hanging="644"/>
        <w:spacing w:after="0" w:line="279" w:lineRule="auto"/>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dividend not yet declared calculated over the period up to and including the day of repayment, such in the manner as determined in article 37, paragraph 2, sub 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Shares, share certificates, share register.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6.</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Shares shall be in registered form.</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Ordinary shares shall be available:</w:t>
      </w:r>
    </w:p>
    <w:p>
      <w:pPr>
        <w:spacing w:after="0" w:line="148" w:lineRule="exact"/>
        <w:rPr>
          <w:sz w:val="20"/>
          <w:szCs w:val="20"/>
          <w:color w:val="auto"/>
        </w:rPr>
      </w:pPr>
    </w:p>
    <w:p>
      <w:pPr>
        <w:ind w:left="1300" w:right="420" w:hanging="644"/>
        <w:spacing w:after="0" w:line="281" w:lineRule="auto"/>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form of an entry in the share register without issue of a share certificate; shares of this type are referred to in these articles of association as type I shares;</w:t>
      </w:r>
    </w:p>
    <w:p>
      <w:pPr>
        <w:spacing w:after="0" w:line="1" w:lineRule="exact"/>
        <w:rPr>
          <w:rFonts w:ascii="Times New Roman" w:cs="Times New Roman" w:eastAsia="Times New Roman" w:hAnsi="Times New Roman"/>
          <w:sz w:val="20"/>
          <w:szCs w:val="20"/>
          <w:color w:val="auto"/>
        </w:rPr>
      </w:pPr>
    </w:p>
    <w:p>
      <w:pPr>
        <w:ind w:left="1300" w:right="220" w:hanging="644"/>
        <w:spacing w:after="0" w:line="281" w:lineRule="auto"/>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 should the supervisory board so decide - in the form of an entry in the share register with issue of a certificate, which certificate shall consist of a main part without dividend coupon; shares of this type and share certificates of this type are referred to in these articles of association as type II shares.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Preference shares shall only be made available in the form of type I shares.</w:t>
      </w:r>
    </w:p>
    <w:p>
      <w:pPr>
        <w:spacing w:after="0" w:line="40" w:lineRule="exact"/>
        <w:rPr>
          <w:sz w:val="20"/>
          <w:szCs w:val="20"/>
          <w:color w:val="auto"/>
        </w:rPr>
      </w:pPr>
    </w:p>
    <w:p>
      <w:pPr>
        <w:ind w:left="660" w:right="4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The supervisory board can decide that the registration of type I shares may only take place for one or more quantities of shares - which quantities are to be specified by the supervisory board - at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Type II share certificates shall be available in such denominations as the supervisory board shall determine.</w:t>
      </w:r>
    </w:p>
    <w:p>
      <w:pPr>
        <w:spacing w:after="0" w:line="148" w:lineRule="exact"/>
        <w:rPr>
          <w:sz w:val="20"/>
          <w:szCs w:val="20"/>
          <w:color w:val="auto"/>
        </w:rPr>
      </w:pPr>
    </w:p>
    <w:p>
      <w:pPr>
        <w:ind w:left="660" w:right="120" w:hanging="647"/>
        <w:spacing w:after="0" w:line="281" w:lineRule="auto"/>
        <w:tabs>
          <w:tab w:leader="none" w:pos="6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color w:val="auto"/>
        </w:rPr>
        <w:t>All share certificates shall be signed by or on behalf of a managing director; the signature may be effected by printed facsimile. Furthermore type II share certificates shall, and all other share certificates may, be countersigned by one or more persons designated by the managing board for that purpose.</w:t>
      </w:r>
    </w:p>
    <w:p>
      <w:pPr>
        <w:spacing w:after="0" w:line="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color w:val="auto"/>
        </w:rPr>
        <w:t>All share certificates shall be identified by numbers and/or letters.</w:t>
      </w:r>
    </w:p>
    <w:p>
      <w:pPr>
        <w:spacing w:after="0" w:line="148" w:lineRule="exact"/>
        <w:rPr>
          <w:sz w:val="20"/>
          <w:szCs w:val="20"/>
          <w:color w:val="auto"/>
        </w:rPr>
      </w:pPr>
    </w:p>
    <w:p>
      <w:pPr>
        <w:ind w:left="660" w:right="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20"/>
          <w:szCs w:val="20"/>
          <w:color w:val="auto"/>
        </w:rPr>
        <w:t>The supervisory board can determine that for the purpose of effecting trading or transfer of shares at foreign exchanges share certificates shall be issued in such form as the supervisory board may determine, complying with the requirements set by said foreign exchange(s) and not provided with any dividend sheet.</w:t>
      </w:r>
    </w:p>
    <w:p>
      <w:pPr>
        <w:spacing w:after="0" w:line="67" w:lineRule="exact"/>
        <w:rPr>
          <w:sz w:val="20"/>
          <w:szCs w:val="20"/>
          <w:color w:val="auto"/>
        </w:rPr>
      </w:pPr>
    </w:p>
    <w:p>
      <w:pPr>
        <w:ind w:left="660" w:right="1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20"/>
          <w:szCs w:val="20"/>
          <w:color w:val="auto"/>
        </w:rPr>
        <w:t>The expression "share certificate" as used in these articles of association shall include a share certificate in respect of more than one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7.</w:t>
      </w:r>
    </w:p>
    <w:p>
      <w:pPr>
        <w:spacing w:after="0" w:line="32" w:lineRule="exact"/>
        <w:rPr>
          <w:sz w:val="20"/>
          <w:szCs w:val="20"/>
          <w:color w:val="auto"/>
        </w:rPr>
      </w:pPr>
    </w:p>
    <w:p>
      <w:pPr>
        <w:ind w:left="660" w:right="60" w:hanging="647"/>
        <w:spacing w:after="0" w:line="317" w:lineRule="auto"/>
        <w:tabs>
          <w:tab w:leader="none" w:pos="6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Upon written request from a shareholder, missing or damaged share certificates, or parts thereof, may be replaced by new certificates or by duplicates bearing the same numbers and/or letters, provided the applicant proves his title and, in so far as applicable, his loss to the satisfaction of the supervisory board, and further subject to such conditions as the managing board may deem fit.</w:t>
      </w:r>
    </w:p>
    <w:p>
      <w:pPr>
        <w:spacing w:after="0" w:line="50" w:lineRule="exact"/>
        <w:rPr>
          <w:sz w:val="20"/>
          <w:szCs w:val="20"/>
          <w:color w:val="auto"/>
        </w:rPr>
      </w:pPr>
    </w:p>
    <w:p>
      <w:pPr>
        <w:ind w:left="660" w:right="40" w:hanging="647"/>
        <w:spacing w:after="0" w:line="289" w:lineRule="auto"/>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In appropriate cases, at its own discretion, the managing board may stipulate that the identifying numbers and/or letters of missing documents be published three times, at intervals of at least one month, in at least three newspapers to be indicated by the managing board announcing the application made; in such a case new certificates or duplicates may not be issued until six months have expired since the last publication, always provided that the original documents have not been produced to the managing board before that time.</w:t>
      </w:r>
    </w:p>
    <w:p>
      <w:pPr>
        <w:spacing w:after="0" w:line="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The issue of new certificates or duplicates shall render the original document invalid.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8.</w:t>
      </w:r>
    </w:p>
    <w:p>
      <w:pPr>
        <w:spacing w:after="0" w:line="32" w:lineRule="exact"/>
        <w:rPr>
          <w:sz w:val="20"/>
          <w:szCs w:val="20"/>
          <w:color w:val="auto"/>
        </w:rPr>
      </w:pPr>
    </w:p>
    <w:p>
      <w:pPr>
        <w:ind w:left="660" w:right="2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Notwithstanding the statutory provisions in respect of registered shares a register shall be kept by or on behalf of the company, which register shall be regularly updated and, at the discretion of the managing board, may, in whole or in part, be kept in more than one copy and at more than one place.</w:t>
      </w:r>
    </w:p>
    <w:p>
      <w:pPr>
        <w:spacing w:after="0" w:line="41" w:lineRule="exact"/>
        <w:rPr>
          <w:sz w:val="20"/>
          <w:szCs w:val="20"/>
          <w:color w:val="auto"/>
        </w:rPr>
      </w:pPr>
    </w:p>
    <w:p>
      <w:pPr>
        <w:ind w:left="660" w:right="300"/>
        <w:spacing w:after="0" w:line="254" w:lineRule="auto"/>
        <w:rPr>
          <w:sz w:val="20"/>
          <w:szCs w:val="20"/>
          <w:color w:val="auto"/>
        </w:rPr>
      </w:pPr>
      <w:r>
        <w:rPr>
          <w:rFonts w:ascii="Times New Roman" w:cs="Times New Roman" w:eastAsia="Times New Roman" w:hAnsi="Times New Roman"/>
          <w:sz w:val="20"/>
          <w:szCs w:val="20"/>
          <w:color w:val="auto"/>
        </w:rPr>
        <w:t>A part of the register may be kept abroad in order to meet requirements set out by foreign statutory provisions or provisions of the foreign exchange.</w:t>
      </w:r>
    </w:p>
    <w:p>
      <w:pPr>
        <w:spacing w:after="0" w:line="1" w:lineRule="exact"/>
        <w:rPr>
          <w:sz w:val="20"/>
          <w:szCs w:val="20"/>
          <w:color w:val="auto"/>
        </w:rPr>
      </w:pPr>
    </w:p>
    <w:p>
      <w:pPr>
        <w:ind w:left="660" w:right="60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Each shareholder's name, his address and such further data as the managing board deems desirable, whether at the request of a shareholder or not, shall be entered in the register.</w:t>
      </w:r>
    </w:p>
    <w:p>
      <w:pPr>
        <w:spacing w:after="0" w:line="54" w:lineRule="exact"/>
        <w:rPr>
          <w:sz w:val="20"/>
          <w:szCs w:val="20"/>
          <w:color w:val="auto"/>
        </w:rPr>
      </w:pPr>
    </w:p>
    <w:p>
      <w:pPr>
        <w:ind w:left="660" w:right="5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20"/>
          <w:szCs w:val="20"/>
          <w:color w:val="auto"/>
        </w:rPr>
        <w:t>The form and the contents of the share register shall be determined by the managing board with due regard to the provisions of paragraphs 1 and 2 of this article.</w:t>
      </w:r>
    </w:p>
    <w:p>
      <w:pPr>
        <w:spacing w:after="0" w:line="52"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20"/>
          <w:szCs w:val="20"/>
          <w:color w:val="auto"/>
        </w:rPr>
        <w:t>The managing board may determine that the records shall vary as to their form and contents according to whether they relate to type I shares or to type II shares.</w:t>
      </w:r>
    </w:p>
    <w:p>
      <w:pPr>
        <w:spacing w:after="0" w:line="1" w:lineRule="exact"/>
        <w:rPr>
          <w:sz w:val="20"/>
          <w:szCs w:val="20"/>
          <w:color w:val="auto"/>
        </w:rPr>
      </w:pPr>
    </w:p>
    <w:p>
      <w:pPr>
        <w:ind w:left="660" w:right="1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20"/>
          <w:szCs w:val="20"/>
          <w:color w:val="auto"/>
        </w:rPr>
        <w:t>Upon request a shareholder shall be given free of charge a declaration of what is stated in the register with regard to the shares registered in his name, which declaration may be signed by one of the specially authorized persons to be appointed by the managing board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5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20"/>
          <w:szCs w:val="20"/>
          <w:color w:val="auto"/>
        </w:rPr>
        <w:t>The provisions of the last four paragraphs shall equally apply to those who hold a right of usufruct or of pledge on one or more registered shares, with the proviso that the other data required by law must be entered in the register.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9.</w:t>
      </w:r>
    </w:p>
    <w:p>
      <w:pPr>
        <w:spacing w:after="0" w:line="32" w:lineRule="exact"/>
        <w:rPr>
          <w:sz w:val="20"/>
          <w:szCs w:val="20"/>
          <w:color w:val="auto"/>
        </w:rPr>
      </w:pPr>
    </w:p>
    <w:p>
      <w:pPr>
        <w:ind w:left="660" w:right="20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color w:val="auto"/>
        </w:rPr>
        <w:t>Subject to the provisions of article 6, the holder of an entry in the share register for one or more type I shares may, upon his request and at his option, have issued to him one or more type II share certificates for the same nominal amount.</w:t>
      </w:r>
    </w:p>
    <w:p>
      <w:pPr>
        <w:spacing w:after="0" w:line="54" w:lineRule="exact"/>
        <w:rPr>
          <w:sz w:val="20"/>
          <w:szCs w:val="20"/>
          <w:color w:val="auto"/>
        </w:rPr>
      </w:pPr>
    </w:p>
    <w:p>
      <w:pPr>
        <w:ind w:left="660" w:right="4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color w:val="auto"/>
        </w:rPr>
        <w:t>Subject to the provisions of article 6, the holder of a type II share certificate registered in his name may, after lodging the share certificate with the company, upon his request and at his option, either have one or more type I shares entered in the share register for the same nominal amount.</w:t>
      </w:r>
    </w:p>
    <w:p>
      <w:pPr>
        <w:spacing w:after="0" w:line="67" w:lineRule="exact"/>
        <w:rPr>
          <w:sz w:val="20"/>
          <w:szCs w:val="20"/>
          <w:color w:val="auto"/>
        </w:rPr>
      </w:pPr>
    </w:p>
    <w:p>
      <w:pPr>
        <w:ind w:left="6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color w:val="auto"/>
        </w:rPr>
        <w:t>A request as mentioned in this article shall, if the supervisory board so requires, be made on a form obtainable from the company free of charge, which shall be signed by the applicant.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Transfer of shares.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10.</w:t>
      </w:r>
    </w:p>
    <w:p>
      <w:pPr>
        <w:spacing w:after="0" w:line="13" w:lineRule="exact"/>
        <w:rPr>
          <w:sz w:val="20"/>
          <w:szCs w:val="20"/>
          <w:color w:val="auto"/>
        </w:rPr>
      </w:pPr>
    </w:p>
    <w:p>
      <w:pPr>
        <w:ind w:left="660" w:right="420" w:hanging="647"/>
        <w:spacing w:after="0" w:line="338" w:lineRule="auto"/>
        <w:tabs>
          <w:tab w:leader="none" w:pos="6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The transfer of a registered share shall be effected either by service upon the company of the instrument of transfer or by written acknowledgement of the transfer by the company, subject however to the provisions of the following paragraphs of this article.</w:t>
      </w:r>
    </w:p>
    <w:p>
      <w:pPr>
        <w:spacing w:after="0" w:line="31" w:lineRule="exact"/>
        <w:rPr>
          <w:sz w:val="20"/>
          <w:szCs w:val="20"/>
          <w:color w:val="auto"/>
        </w:rPr>
      </w:pPr>
    </w:p>
    <w:p>
      <w:pPr>
        <w:ind w:left="660" w:right="3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10.2.</w:t>
        <w:tab/>
        <w:t>Where a transfer of a type II share is effected by service of an instrument of transfer on the company, the company shall, at the discretion of the managing board, either endorse the transfer on the share certificate or cancel the share certificate and issue to the transferee one or more new share certificates registered in his name to the same nominal amount.</w:t>
      </w:r>
    </w:p>
    <w:p>
      <w:pPr>
        <w:spacing w:after="0" w:line="67" w:lineRule="exact"/>
        <w:rPr>
          <w:sz w:val="20"/>
          <w:szCs w:val="20"/>
          <w:color w:val="auto"/>
        </w:rPr>
      </w:pPr>
    </w:p>
    <w:p>
      <w:pPr>
        <w:jc w:val="both"/>
        <w:ind w:left="660" w:right="24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10.3.</w:t>
        <w:tab/>
        <w:t>The company's written acknowledgement of a transfer of a type II share shall, at the discretion of the managing board, be effected either by endorsement of the transfer on the share certificates or by the issue to the transferee of one or more new share certificates registered in his name to the same nominal amount.</w:t>
      </w:r>
    </w:p>
    <w:p>
      <w:pPr>
        <w:spacing w:after="0" w:line="67" w:lineRule="exact"/>
        <w:rPr>
          <w:sz w:val="20"/>
          <w:szCs w:val="20"/>
          <w:color w:val="auto"/>
        </w:rPr>
      </w:pPr>
    </w:p>
    <w:p>
      <w:pPr>
        <w:ind w:left="660" w:right="3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10.4.</w:t>
        <w:tab/>
        <w:t>The provisions of the foregoing paragraphs of this article shall equally apply to the allotment of registered shares in the event of a judicial partition of any community of property or interests, the transfer of a registered share as a consequence of a judgment execution and the creation of limited rights in rem on a registered share.</w:t>
      </w:r>
    </w:p>
    <w:p>
      <w:pPr>
        <w:spacing w:after="0" w:line="67" w:lineRule="exact"/>
        <w:rPr>
          <w:sz w:val="20"/>
          <w:szCs w:val="20"/>
          <w:color w:val="auto"/>
        </w:rPr>
      </w:pPr>
    </w:p>
    <w:p>
      <w:pPr>
        <w:ind w:left="660" w:right="60"/>
        <w:spacing w:after="0" w:line="296" w:lineRule="auto"/>
        <w:rPr>
          <w:sz w:val="20"/>
          <w:szCs w:val="20"/>
          <w:color w:val="auto"/>
        </w:rPr>
      </w:pPr>
      <w:r>
        <w:rPr>
          <w:rFonts w:ascii="Times New Roman" w:cs="Times New Roman" w:eastAsia="Times New Roman" w:hAnsi="Times New Roman"/>
          <w:sz w:val="19"/>
          <w:szCs w:val="19"/>
          <w:color w:val="auto"/>
        </w:rPr>
        <w:t>If a share certificate has been issued, the acknowledgement can only be effected either by putting an endorsement to that effect on this document, signed by or on behalf of the company, or by replacing this document by a new certificate in the name of the acquirer.</w:t>
      </w:r>
    </w:p>
    <w:p>
      <w:pPr>
        <w:spacing w:after="0" w:line="1" w:lineRule="exact"/>
        <w:rPr>
          <w:sz w:val="20"/>
          <w:szCs w:val="20"/>
          <w:color w:val="auto"/>
        </w:rPr>
      </w:pPr>
    </w:p>
    <w:p>
      <w:pPr>
        <w:ind w:left="660" w:right="58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10.5.</w:t>
        <w:tab/>
        <w:t>The submission of requests and the lodging of documents referred to in articles 7 to 10 inclusive shall be made at a place to be indicated by the managing board and in any case the places where the company is admitted to a stock exchange.</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Different places may be indicated for the different classes and types of shares and share certificates.</w:t>
      </w:r>
    </w:p>
    <w:p>
      <w:pPr>
        <w:spacing w:after="0" w:line="40" w:lineRule="exact"/>
        <w:rPr>
          <w:sz w:val="20"/>
          <w:szCs w:val="20"/>
          <w:color w:val="auto"/>
        </w:rPr>
      </w:pPr>
    </w:p>
    <w:p>
      <w:pPr>
        <w:ind w:left="660" w:right="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10.6.</w:t>
        <w:tab/>
        <w:t>The company is authorized to charge amounts to be determined by the managing board not exceeding cost price to those persons who request any services to be carried out by virtue of articles 7 up to and including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Usufructuaries, pledgees, holders of depositary receipts.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11.</w:t>
      </w:r>
    </w:p>
    <w:p>
      <w:pPr>
        <w:spacing w:after="0" w:line="13" w:lineRule="exact"/>
        <w:rPr>
          <w:sz w:val="20"/>
          <w:szCs w:val="20"/>
          <w:color w:val="auto"/>
        </w:rPr>
      </w:pPr>
    </w:p>
    <w:p>
      <w:pPr>
        <w:ind w:left="660" w:right="40" w:hanging="647"/>
        <w:spacing w:after="0" w:line="317" w:lineRule="auto"/>
        <w:tabs>
          <w:tab w:leader="none" w:pos="6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The usufructuary, who in conformity with the provisions of section 88, Book 2, Dutch Civil Code has no right to vote, and the pledgee who in conformity with the provisions of section 89, Book 2, Dutch Civil Code has no right to vote, shall not be entitled to the rights which by law have been conferred on holders of depositary receipts for shares issued with the cooperation of the company.</w:t>
      </w:r>
    </w:p>
    <w:p>
      <w:pPr>
        <w:spacing w:after="0" w:line="50" w:lineRule="exact"/>
        <w:rPr>
          <w:sz w:val="20"/>
          <w:szCs w:val="20"/>
          <w:color w:val="auto"/>
        </w:rPr>
      </w:pPr>
    </w:p>
    <w:p>
      <w:pPr>
        <w:jc w:val="both"/>
        <w:ind w:left="660" w:right="20" w:hanging="647"/>
        <w:spacing w:after="0" w:line="291" w:lineRule="auto"/>
        <w:tabs>
          <w:tab w:leader="none" w:pos="640" w:val="left"/>
        </w:tabs>
        <w:rPr>
          <w:sz w:val="20"/>
          <w:szCs w:val="20"/>
          <w:color w:val="auto"/>
        </w:rPr>
      </w:pPr>
      <w:r>
        <w:rPr>
          <w:rFonts w:ascii="Times New Roman" w:cs="Times New Roman" w:eastAsia="Times New Roman" w:hAnsi="Times New Roman"/>
          <w:sz w:val="20"/>
          <w:szCs w:val="20"/>
          <w:color w:val="auto"/>
        </w:rPr>
        <w:t>11.2.</w:t>
        <w:tab/>
        <w:t>Where in these articles of association persons are mentioned, entitled to attend meetings of shareholders, this shall include holders of depositary receipts for shares issued with the cooperation of the company and persons who in pursuance of paragraph 4 in section 88 or section 89, Book 2, Dutch Civil Code have the rights that by law have been conferred on holders of depositary receipts for shares issued with the cooperation of the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Managing board.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12.</w:t>
      </w:r>
    </w:p>
    <w:p>
      <w:pPr>
        <w:spacing w:after="0" w:line="13" w:lineRule="exact"/>
        <w:rPr>
          <w:sz w:val="20"/>
          <w:szCs w:val="20"/>
          <w:color w:val="auto"/>
        </w:rPr>
      </w:pPr>
    </w:p>
    <w:p>
      <w:pPr>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auto"/>
        </w:rPr>
        <w:t>12.1.</w:t>
        <w:tab/>
        <w:t>The company shall be managed by a managing board consisting of two or more managing directors, including in any event one managing director carrying the title of Chief Executive Officer and one managing director carrying the title of Chief Financial Officer, under the supervision of the supervisory board. The number of members of the managing board shall be resolved upon by the supervisory board, with due observance of the preceding sentence. The members of the managing board shall be appointed for no more than three years, a year being understood as meaning the period between two general meetings of shareholders in which the annual accounts of the previous financial year are adopted.</w:t>
      </w:r>
    </w:p>
    <w:p>
      <w:pPr>
        <w:spacing w:after="0" w:line="76" w:lineRule="exact"/>
        <w:rPr>
          <w:sz w:val="20"/>
          <w:szCs w:val="20"/>
          <w:color w:val="auto"/>
        </w:rPr>
      </w:pPr>
    </w:p>
    <w:p>
      <w:pPr>
        <w:ind w:left="660" w:right="2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12.2.</w:t>
        <w:tab/>
        <w:t>Managing directors shall be appointed by the general meeting of shareholders upon the proposal of the supervisory board for each vacancy to be filled.</w:t>
      </w:r>
    </w:p>
    <w:p>
      <w:pPr>
        <w:spacing w:after="0" w:line="52" w:lineRule="exact"/>
        <w:rPr>
          <w:sz w:val="20"/>
          <w:szCs w:val="20"/>
          <w:color w:val="auto"/>
        </w:rPr>
      </w:pPr>
    </w:p>
    <w:p>
      <w:pPr>
        <w:ind w:left="660" w:right="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12.3.</w:t>
        <w:tab/>
        <w:t>Without prejudice to the provisions of article 28, paragraph 2, a proposal to appoint one or more managing directors to the managing board may be placed on the agenda of a general meeting of shareholders by the supervisory board.</w:t>
      </w:r>
    </w:p>
    <w:p>
      <w:pPr>
        <w:spacing w:after="0" w:line="52" w:lineRule="exact"/>
        <w:rPr>
          <w:sz w:val="20"/>
          <w:szCs w:val="20"/>
          <w:color w:val="auto"/>
        </w:rPr>
      </w:pPr>
    </w:p>
    <w:p>
      <w:pPr>
        <w:ind w:left="660" w:right="10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12.4.</w:t>
        <w:tab/>
        <w:t>The company has a policy regarding the compensation of the managing board. The policy will be adopted by the general meeting of shareholders upon the proposal of the supervisory board.</w:t>
      </w:r>
    </w:p>
    <w:p>
      <w:pPr>
        <w:spacing w:after="0" w:line="52" w:lineRule="exact"/>
        <w:rPr>
          <w:sz w:val="20"/>
          <w:szCs w:val="20"/>
          <w:color w:val="auto"/>
        </w:rPr>
      </w:pPr>
    </w:p>
    <w:p>
      <w:pPr>
        <w:ind w:left="6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The supervisory board shall determine the compensation of the individual managing directors, within the scope of the compensation policy referred to in the previous paragraph. The supervisory board will submit for approval by the general meeting of shareholders a proposal regarding the compensation in the form of shares or rights to acquire shares. This proposal sets forth at least how many shares or rights to acquire shares may be awarded to the managing board and which criteria apply to an award or a modification.</w:t>
      </w:r>
    </w:p>
    <w:p>
      <w:pPr>
        <w:spacing w:after="0" w:line="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The general meeting of shareholders shall decide in accordance with the provisions of article 32, paragraph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Votes in respect of persons who have not been so nominated shall be invalid.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13.</w:t>
      </w:r>
    </w:p>
    <w:p>
      <w:pPr>
        <w:spacing w:after="0" w:line="13" w:lineRule="exact"/>
        <w:rPr>
          <w:sz w:val="20"/>
          <w:szCs w:val="20"/>
          <w:color w:val="auto"/>
        </w:rPr>
      </w:pPr>
    </w:p>
    <w:p>
      <w:pPr>
        <w:ind w:left="660" w:right="12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13.1.</w:t>
        <w:tab/>
        <w:t>The general meeting of shareholders shall be entitled to suspend or dismiss one or more managing directors, provided that at least half of the issued share capital is represented at the meeting. No such quorum shall be required where the suspension or dismissal is proposed by the supervisory board.</w:t>
      </w:r>
    </w:p>
    <w:p>
      <w:pPr>
        <w:spacing w:after="0" w:line="68" w:lineRule="exact"/>
        <w:rPr>
          <w:sz w:val="20"/>
          <w:szCs w:val="20"/>
          <w:color w:val="auto"/>
        </w:rPr>
      </w:pPr>
    </w:p>
    <w:p>
      <w:pPr>
        <w:ind w:left="660" w:right="14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13.2.</w:t>
        <w:tab/>
        <w:t>Where a quorum under paragraph 1 is required but is not present, a further meeting shall be convened, to be held within four weeks after the first meeting, which shall be entitled, irrespective of the share capital represented, to pass a resolution in regard to the suspension or dismissal.</w:t>
      </w:r>
    </w:p>
    <w:p>
      <w:pPr>
        <w:spacing w:after="0" w:line="67" w:lineRule="exact"/>
        <w:rPr>
          <w:sz w:val="20"/>
          <w:szCs w:val="20"/>
          <w:color w:val="auto"/>
        </w:rPr>
      </w:pPr>
    </w:p>
    <w:p>
      <w:pPr>
        <w:ind w:left="660" w:right="14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13.3.</w:t>
        <w:tab/>
        <w:t>The managing directors can be jointly or individually suspended by the supervisory board. After suspension a general meeting of shareholders shall be convened within three months, at which meeting it shall be decided whether the suspension shall be cancelled or maintained.</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person involved shall be given the opportunity to account for his actions at that meeting.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14.</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The entire managing board as well as each managing director may represent the company.</w:t>
      </w:r>
    </w:p>
    <w:p>
      <w:pPr>
        <w:spacing w:after="0" w:line="146" w:lineRule="exact"/>
        <w:rPr>
          <w:sz w:val="20"/>
          <w:szCs w:val="20"/>
          <w:color w:val="auto"/>
        </w:rPr>
      </w:pPr>
    </w:p>
    <w:p>
      <w:pPr>
        <w:ind w:left="660" w:right="7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14.2.</w:t>
        <w:tab/>
        <w:t>The managing board may grant powers of attorney to persons, whether or not in the service of the company, to represent the company and shall thereby determine the scope of such powers of attorney and the titles of such persons.</w:t>
      </w:r>
    </w:p>
    <w:p>
      <w:pPr>
        <w:spacing w:after="0" w:line="52" w:lineRule="exact"/>
        <w:rPr>
          <w:sz w:val="20"/>
          <w:szCs w:val="20"/>
          <w:color w:val="auto"/>
        </w:rPr>
      </w:pPr>
    </w:p>
    <w:p>
      <w:pPr>
        <w:ind w:left="660" w:right="16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14.3.</w:t>
        <w:tab/>
        <w:t>The managing board shall have power to perform legal acts as specified in section 94, paragraph 1, Book 2, Dutch Civil Code in so far as such power is not expressly excluded or limited by any provision of these articles of association or by any resolution of the supervisory board.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15.</w:t>
      </w:r>
    </w:p>
    <w:p>
      <w:pPr>
        <w:spacing w:after="0" w:line="32" w:lineRule="exact"/>
        <w:rPr>
          <w:sz w:val="20"/>
          <w:szCs w:val="20"/>
          <w:color w:val="auto"/>
        </w:rPr>
      </w:pPr>
    </w:p>
    <w:p>
      <w:pPr>
        <w:ind w:left="660" w:hanging="647"/>
        <w:spacing w:after="0" w:line="290" w:lineRule="auto"/>
        <w:tabs>
          <w:tab w:leader="none" w:pos="640" w:val="left"/>
        </w:tabs>
        <w:rPr>
          <w:sz w:val="20"/>
          <w:szCs w:val="20"/>
          <w:color w:val="auto"/>
        </w:rPr>
      </w:pPr>
      <w:r>
        <w:rPr>
          <w:rFonts w:ascii="Times New Roman" w:cs="Times New Roman" w:eastAsia="Times New Roman" w:hAnsi="Times New Roman"/>
          <w:sz w:val="20"/>
          <w:szCs w:val="20"/>
          <w:color w:val="auto"/>
        </w:rPr>
        <w:t>15.1.</w:t>
        <w:tab/>
        <w:t>The supervisory board shall appoint one of the managing directors as chairman of the managing board. The person so appointed shall also carry the title of Chief Executive Officer. The supervisory board shall also grant another managing director the title of Chief Financial Officer. The supervisory board may also revoke these titles. These resolutions shall be passed with the majority mentioned in article 22, paragraph 1.</w:t>
      </w:r>
    </w:p>
    <w:p>
      <w:pPr>
        <w:spacing w:after="0" w:line="75" w:lineRule="exact"/>
        <w:rPr>
          <w:sz w:val="20"/>
          <w:szCs w:val="20"/>
          <w:color w:val="auto"/>
        </w:rPr>
      </w:pPr>
    </w:p>
    <w:p>
      <w:pPr>
        <w:ind w:left="660" w:right="4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15.2.</w:t>
        <w:tab/>
        <w:t>Resolutions of the managing board shall be passed by simple majority of votes. In the event of a tie of votes the chairman of the managing board shall have a casting vote.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16.</w:t>
      </w:r>
    </w:p>
    <w:p>
      <w:pPr>
        <w:spacing w:after="0" w:line="32" w:lineRule="exact"/>
        <w:rPr>
          <w:sz w:val="20"/>
          <w:szCs w:val="20"/>
          <w:color w:val="auto"/>
        </w:rPr>
      </w:pPr>
    </w:p>
    <w:p>
      <w:pPr>
        <w:ind w:left="660" w:right="22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16.1.</w:t>
        <w:tab/>
        <w:t>Without prejudice to provisions made elsewhere in these articles of association, the managing board shall require the prior express approval:</w:t>
      </w:r>
    </w:p>
    <w:p>
      <w:pPr>
        <w:spacing w:after="0" w:line="54"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supervisory board for decisions relating to:</w:t>
      </w:r>
    </w:p>
    <w:p>
      <w:pPr>
        <w:spacing w:after="0" w:line="14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proposals to be submitted to a vote at the general meeting of shareholders;</w:t>
      </w:r>
    </w:p>
    <w:p>
      <w:pPr>
        <w:spacing w:after="0" w:line="40" w:lineRule="exact"/>
        <w:rPr>
          <w:rFonts w:ascii="Times New Roman" w:cs="Times New Roman" w:eastAsia="Times New Roman" w:hAnsi="Times New Roman"/>
          <w:sz w:val="20"/>
          <w:szCs w:val="20"/>
          <w:color w:val="auto"/>
        </w:rPr>
      </w:pPr>
    </w:p>
    <w:p>
      <w:pPr>
        <w:ind w:left="1960" w:right="520" w:hanging="656"/>
        <w:spacing w:after="0" w:line="311" w:lineRule="auto"/>
        <w:tabs>
          <w:tab w:leader="none" w:pos="19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of all companies, acquisition or sale of any participation, and conclusion of any cooperation and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960" w:hanging="656"/>
        <w:spacing w:after="0"/>
        <w:tabs>
          <w:tab w:leader="none" w:pos="19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pluri-annual plans of the company and the budget for the first coming year, covering the following matters:</w:t>
      </w:r>
    </w:p>
    <w:p>
      <w:pPr>
        <w:spacing w:after="0" w:line="4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policy;</w:t>
      </w:r>
    </w:p>
    <w:p>
      <w:pPr>
        <w:spacing w:after="0" w:line="14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policy regarding research and development, as well as commercial policy and objectives;</w:t>
      </w:r>
    </w:p>
    <w:p>
      <w:pPr>
        <w:spacing w:after="0" w:line="14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financial policy;</w:t>
      </w:r>
    </w:p>
    <w:p>
      <w:pPr>
        <w:spacing w:after="0" w:line="14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policy regarding personnel;</w:t>
      </w:r>
    </w:p>
    <w:p>
      <w:pPr>
        <w:spacing w:after="0" w:line="148" w:lineRule="exact"/>
        <w:rPr>
          <w:rFonts w:ascii="Times New Roman" w:cs="Times New Roman" w:eastAsia="Times New Roman" w:hAnsi="Times New Roman"/>
          <w:sz w:val="20"/>
          <w:szCs w:val="20"/>
          <w:color w:val="auto"/>
        </w:rPr>
      </w:pPr>
    </w:p>
    <w:p>
      <w:pPr>
        <w:ind w:left="1960" w:hanging="656"/>
        <w:spacing w:after="0" w:line="281" w:lineRule="auto"/>
        <w:tabs>
          <w:tab w:leader="none" w:pos="19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acts, decisions or operations covered by the above list and constituting a significant change with respect to decisions already adopted by the supervisory board or not provided for in the above list and as specifically laid down by the supervisory board by resolution passed by it to that effect.</w:t>
      </w:r>
    </w:p>
    <w:p>
      <w:pPr>
        <w:spacing w:after="0" w:line="2" w:lineRule="exact"/>
        <w:rPr>
          <w:rFonts w:ascii="Times New Roman" w:cs="Times New Roman" w:eastAsia="Times New Roman" w:hAnsi="Times New Roman"/>
          <w:sz w:val="20"/>
          <w:szCs w:val="20"/>
          <w:color w:val="auto"/>
        </w:rPr>
      </w:pPr>
    </w:p>
    <w:p>
      <w:pPr>
        <w:ind w:left="1300" w:hanging="644"/>
        <w:spacing w:after="0" w:line="281" w:lineRule="auto"/>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general meeting of shareholders with respect to resolutions: regarding a significant change in the identity or nature of the company or the enterprise, including in any event (a) transferring the enterprise or practically the entire enterprise to a third party, (b) entering into or cancelling any long-term cooperation between the company or a subsidiary ("</w:t>
      </w:r>
      <w:r>
        <w:rPr>
          <w:rFonts w:ascii="Times New Roman" w:cs="Times New Roman" w:eastAsia="Times New Roman" w:hAnsi="Times New Roman"/>
          <w:sz w:val="20"/>
          <w:szCs w:val="20"/>
          <w:i w:val="1"/>
          <w:iCs w:val="1"/>
          <w:color w:val="auto"/>
        </w:rPr>
        <w:t>dochtermaatschappij</w:t>
      </w:r>
      <w:r>
        <w:rPr>
          <w:rFonts w:ascii="Times New Roman" w:cs="Times New Roman" w:eastAsia="Times New Roman" w:hAnsi="Times New Roman"/>
          <w:sz w:val="20"/>
          <w:szCs w:val="20"/>
          <w:color w:val="auto"/>
        </w:rPr>
        <w:t>") and any other legal person or company or as a fully liable general partner of a limited partnership or a general partnership, provided that such cooperation or the cancellation thereof is of essential importance to the company, and (c) the company or a subsidiary (</w:t>
      </w:r>
      <w:r>
        <w:rPr>
          <w:rFonts w:ascii="Times New Roman" w:cs="Times New Roman" w:eastAsia="Times New Roman" w:hAnsi="Times New Roman"/>
          <w:sz w:val="20"/>
          <w:szCs w:val="20"/>
          <w:i w:val="1"/>
          <w:iCs w:val="1"/>
          <w:color w:val="auto"/>
        </w:rPr>
        <w:t>dochtermaatschappij</w:t>
      </w:r>
      <w:r>
        <w:rPr>
          <w:rFonts w:ascii="Times New Roman" w:cs="Times New Roman" w:eastAsia="Times New Roman" w:hAnsi="Times New Roman"/>
          <w:sz w:val="20"/>
          <w:szCs w:val="20"/>
          <w:color w:val="auto"/>
        </w:rPr>
        <w:t>) acquiring or disposing of a participating interest in the capital of a company with a value of at least one-third of the company's total assets according to the consolidated balance sheet and notes thereto in the most recently adopted annual accounts of the company;</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absence of the approval provided for above may not be raised by or against third parties.</w:t>
      </w:r>
    </w:p>
    <w:p>
      <w:pPr>
        <w:spacing w:after="0" w:line="40" w:lineRule="exact"/>
        <w:rPr>
          <w:sz w:val="20"/>
          <w:szCs w:val="20"/>
          <w:color w:val="auto"/>
        </w:rPr>
      </w:pPr>
    </w:p>
    <w:p>
      <w:pPr>
        <w:jc w:val="both"/>
        <w:ind w:left="660" w:right="8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16.2.</w:t>
        <w:tab/>
        <w:t>Without prejudice to provisions made elsewhere in these articles of association, the managing board shall require the approval of the general meeting of shareholders according to the law and the provisions of these articles of association as well as such resolutions as are clearly defined by a resolution of the general meeting of shareholders to that effect.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17.</w:t>
      </w:r>
    </w:p>
    <w:p>
      <w:pPr>
        <w:spacing w:after="0" w:line="3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In the event of the absence or inability to act of one of more managing directors the remaining managing directors or managing director shall temporarily be responsible for the entire management. In the event of the absence or inability to act of all managing directors, one or more persons appointed by the supervisory board for this purpose at any time shall be temporarily responsible for the management.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Supervisory board.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18.</w:t>
      </w:r>
    </w:p>
    <w:p>
      <w:pPr>
        <w:spacing w:after="0" w:line="13" w:lineRule="exact"/>
        <w:rPr>
          <w:sz w:val="20"/>
          <w:szCs w:val="20"/>
          <w:color w:val="auto"/>
        </w:rPr>
      </w:pPr>
    </w:p>
    <w:p>
      <w:pPr>
        <w:ind w:left="660" w:right="52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18.1.</w:t>
        <w:tab/>
        <w:t>The supervisory board shall be responsible for supervising the policy pursued by the managing board and the general course of affairs of the company and the business enterprise which it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right="60"/>
        <w:spacing w:after="0" w:line="281" w:lineRule="auto"/>
        <w:rPr>
          <w:sz w:val="20"/>
          <w:szCs w:val="20"/>
          <w:color w:val="auto"/>
        </w:rPr>
      </w:pPr>
      <w:r>
        <w:rPr>
          <w:rFonts w:ascii="Times New Roman" w:cs="Times New Roman" w:eastAsia="Times New Roman" w:hAnsi="Times New Roman"/>
          <w:sz w:val="20"/>
          <w:szCs w:val="20"/>
          <w:color w:val="auto"/>
        </w:rPr>
        <w:t>The supervisory board shall assist the managing board with advice relating to the general policy aspects connected with the activities of the company. In fulfilling their duties the supervisory directors shall serve the interests of the company and the business enterprise which it operates.</w:t>
      </w:r>
    </w:p>
    <w:p>
      <w:pPr>
        <w:spacing w:after="0" w:line="2" w:lineRule="exact"/>
        <w:rPr>
          <w:sz w:val="20"/>
          <w:szCs w:val="20"/>
          <w:color w:val="auto"/>
        </w:rPr>
      </w:pPr>
    </w:p>
    <w:p>
      <w:pPr>
        <w:ind w:left="660" w:right="3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18.2.</w:t>
        <w:tab/>
        <w:t>The managing board shall provide the supervisory board in good time with all relevant information as well as the information the supervisory board requests, in connection with the exercise of its duties.</w:t>
      </w:r>
    </w:p>
    <w:p>
      <w:pPr>
        <w:spacing w:after="0" w:line="52" w:lineRule="exact"/>
        <w:rPr>
          <w:sz w:val="20"/>
          <w:szCs w:val="20"/>
          <w:color w:val="auto"/>
        </w:rPr>
      </w:pPr>
    </w:p>
    <w:p>
      <w:pPr>
        <w:ind w:left="660" w:right="20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18.3.</w:t>
        <w:tab/>
        <w:t>At least once per year the managing board shall inform the supervisory board in writing of the main features of the strategic policy, the general and financial risks and the management and control systems of the company.</w:t>
      </w:r>
    </w:p>
    <w:p>
      <w:pPr>
        <w:spacing w:after="0" w:line="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managing board shall then submit to the supervisory board for approval:</w:t>
      </w:r>
    </w:p>
    <w:p>
      <w:pPr>
        <w:spacing w:after="0" w:line="40"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operational and financial objectives of the company;</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strategy designed to achieve the objectives;</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parameters to be applied in relation to the strategy, inter alia, regarding financial ratios; and</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social responsibility issues that are relevant to the enterprise.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19.</w:t>
      </w:r>
    </w:p>
    <w:p>
      <w:pPr>
        <w:spacing w:after="0" w:line="32" w:lineRule="exact"/>
        <w:rPr>
          <w:sz w:val="20"/>
          <w:szCs w:val="20"/>
          <w:color w:val="auto"/>
        </w:rPr>
      </w:pPr>
    </w:p>
    <w:p>
      <w:pPr>
        <w:ind w:left="66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19.1.</w:t>
        <w:tab/>
        <w:t>The supervisory board shall consist of at least six members, to be appointed by the general meeting of shareholders upon the proposal of the supervisory board for each vacancy to be filled. The number of supervisory directors shall without prejudice to the preceding sentence be resolved upon by the general meeting of shareholders upon the proposal of the supervisory board.</w:t>
      </w:r>
    </w:p>
    <w:p>
      <w:pPr>
        <w:spacing w:after="0" w:line="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19.2.</w:t>
      </w:r>
      <w:r>
        <w:rPr>
          <w:sz w:val="20"/>
          <w:szCs w:val="20"/>
          <w:color w:val="auto"/>
        </w:rPr>
        <w:tab/>
      </w:r>
      <w:r>
        <w:rPr>
          <w:rFonts w:ascii="Times New Roman" w:cs="Times New Roman" w:eastAsia="Times New Roman" w:hAnsi="Times New Roman"/>
          <w:sz w:val="19"/>
          <w:szCs w:val="19"/>
          <w:color w:val="auto"/>
        </w:rPr>
        <w:t>The general meeting of shareholders shall decide in accordance with the provisions of article 32, paragraph 1.</w:t>
      </w:r>
    </w:p>
    <w:p>
      <w:pPr>
        <w:spacing w:after="0" w:line="148" w:lineRule="exact"/>
        <w:rPr>
          <w:sz w:val="20"/>
          <w:szCs w:val="20"/>
          <w:color w:val="auto"/>
        </w:rPr>
      </w:pPr>
    </w:p>
    <w:p>
      <w:pPr>
        <w:ind w:left="660" w:right="7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19.3.</w:t>
        <w:tab/>
        <w:t>Without prejudice to the provisions of article 28, paragraph 2, a proposal to appoint one or more supervisory directors to the supervisory board may be placed on the agenda of the general meeting of shareholders by the supervisory board.</w:t>
      </w:r>
    </w:p>
    <w:p>
      <w:pPr>
        <w:spacing w:after="0" w:line="52" w:lineRule="exact"/>
        <w:rPr>
          <w:sz w:val="20"/>
          <w:szCs w:val="20"/>
          <w:color w:val="auto"/>
        </w:rPr>
      </w:pPr>
    </w:p>
    <w:p>
      <w:pPr>
        <w:ind w:left="660" w:right="5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19.4.</w:t>
        <w:tab/>
        <w:t>The supervisory board shall appoint from among their midst a chairman and a vice-chairman of the supervisory board with the majority mentioned in article 22, paragraph 1.</w:t>
      </w:r>
    </w:p>
    <w:p>
      <w:pPr>
        <w:spacing w:after="0" w:line="52" w:lineRule="exact"/>
        <w:rPr>
          <w:sz w:val="20"/>
          <w:szCs w:val="20"/>
          <w:color w:val="auto"/>
        </w:rPr>
      </w:pPr>
    </w:p>
    <w:p>
      <w:pPr>
        <w:ind w:left="660" w:right="4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19.5.</w:t>
        <w:tab/>
        <w:t>Upon the appointment of the supervisory directors the particulars as referred to in section 142, paragraph 3, Book 2, Dutch Civil Code shall be made available for prior inspection.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20.</w:t>
      </w:r>
    </w:p>
    <w:p>
      <w:pPr>
        <w:spacing w:after="0" w:line="32" w:lineRule="exact"/>
        <w:rPr>
          <w:sz w:val="20"/>
          <w:szCs w:val="20"/>
          <w:color w:val="auto"/>
        </w:rPr>
      </w:pPr>
    </w:p>
    <w:p>
      <w:pPr>
        <w:ind w:left="660" w:right="74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20.1.</w:t>
        <w:tab/>
        <w:t>The supervisory board may appoint one or more of its members as delegate supervisory director in charge of supervising the managing board on a regular basis. They shall report their findings to the supervisory board. The offices of chairman of the supervisory board and delegate supervisory director are compatible.</w:t>
      </w:r>
    </w:p>
    <w:p>
      <w:pPr>
        <w:spacing w:after="0" w:line="68" w:lineRule="exact"/>
        <w:rPr>
          <w:sz w:val="20"/>
          <w:szCs w:val="20"/>
          <w:color w:val="auto"/>
        </w:rPr>
      </w:pPr>
    </w:p>
    <w:p>
      <w:pPr>
        <w:ind w:left="660" w:right="5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20.2.</w:t>
        <w:tab/>
        <w:t>With due observance of these articles of association, the supervisory board may adopt rules regulating the division of its duties among its various supervisory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140"/>
        <w:spacing w:after="0" w:line="281" w:lineRule="auto"/>
        <w:rPr>
          <w:sz w:val="20"/>
          <w:szCs w:val="20"/>
          <w:color w:val="auto"/>
        </w:rPr>
      </w:pPr>
      <w:r>
        <w:rPr>
          <w:rFonts w:ascii="Times New Roman" w:cs="Times New Roman" w:eastAsia="Times New Roman" w:hAnsi="Times New Roman"/>
          <w:sz w:val="20"/>
          <w:szCs w:val="20"/>
          <w:color w:val="auto"/>
        </w:rPr>
        <w:t>The supervisory board may also delegate certain of its powers to committees which exclusively consist of members of the supervisory board, such as an audit committee, a compensation committee or any other committee as the supervisory board may resolve to install. In case the authority to resolve upon the issuance of new shares is delegated to the supervisory board, the supervisory board may install a pricing committee which shall exclusively consist of members of the supervisory board and which shall be authorized within the range set in the delegation mentioned above to determine on behalf of the supervisory board the price and conditions for newly issued shares.</w:t>
      </w:r>
    </w:p>
    <w:p>
      <w:pPr>
        <w:spacing w:after="0" w:line="4" w:lineRule="exact"/>
        <w:rPr>
          <w:sz w:val="20"/>
          <w:szCs w:val="20"/>
          <w:color w:val="auto"/>
        </w:rPr>
      </w:pPr>
    </w:p>
    <w:p>
      <w:pPr>
        <w:ind w:left="660" w:right="6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20.3.</w:t>
        <w:tab/>
        <w:t>The supervisory board may decide that one or more of its members shall have access to all premises of the company and shall be authorized to examine all books, correspondence and other records and to be fully informed of all actions which have taken place, or may decide that one or more of its supervisory directors shall be authorized to exercise a portion of such powers.</w:t>
      </w:r>
    </w:p>
    <w:p>
      <w:pPr>
        <w:spacing w:after="0" w:line="67" w:lineRule="exact"/>
        <w:rPr>
          <w:sz w:val="20"/>
          <w:szCs w:val="20"/>
          <w:color w:val="auto"/>
        </w:rPr>
      </w:pPr>
    </w:p>
    <w:p>
      <w:pPr>
        <w:ind w:left="660" w:right="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20.4.</w:t>
        <w:tab/>
        <w:t>At the expense of the company, the supervisory board may obtain such advice from experts as the supervisory board deems desirable for the proper fulfilment of its duties.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21.</w:t>
      </w:r>
    </w:p>
    <w:p>
      <w:pPr>
        <w:spacing w:after="0" w:line="32" w:lineRule="exact"/>
        <w:rPr>
          <w:sz w:val="20"/>
          <w:szCs w:val="20"/>
          <w:color w:val="auto"/>
        </w:rPr>
      </w:pPr>
    </w:p>
    <w:p>
      <w:pPr>
        <w:ind w:left="660" w:right="8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21.1.</w:t>
        <w:tab/>
        <w:t>A supervisory director shall retire no later than at the first ordinary general meeting of shareholders held after a period of three years following his appointment.</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 retired supervisory director may immediately be re-elected.</w:t>
      </w:r>
    </w:p>
    <w:p>
      <w:pPr>
        <w:spacing w:after="0" w:line="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The supervisory board may establish a rotation scheme.</w:t>
      </w:r>
    </w:p>
    <w:p>
      <w:pPr>
        <w:spacing w:after="0" w:line="148" w:lineRule="exact"/>
        <w:rPr>
          <w:sz w:val="20"/>
          <w:szCs w:val="20"/>
          <w:color w:val="auto"/>
        </w:rPr>
      </w:pPr>
    </w:p>
    <w:p>
      <w:pPr>
        <w:ind w:left="6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21.3.</w:t>
        <w:tab/>
        <w:t>The supervisory directors may be suspended or dismissed by the general meeting of shareholders. The supervisory board may make a proposal to the general meeting of shareholders for the suspension or dismissal of one or more of its supervisory directors.</w:t>
      </w:r>
    </w:p>
    <w:p>
      <w:pPr>
        <w:spacing w:after="0" w:line="52" w:lineRule="exact"/>
        <w:rPr>
          <w:sz w:val="20"/>
          <w:szCs w:val="20"/>
          <w:color w:val="auto"/>
        </w:rPr>
      </w:pPr>
    </w:p>
    <w:p>
      <w:pPr>
        <w:ind w:left="660" w:right="60" w:hanging="647"/>
        <w:spacing w:after="0" w:line="291" w:lineRule="auto"/>
        <w:tabs>
          <w:tab w:leader="none" w:pos="640" w:val="left"/>
        </w:tabs>
        <w:rPr>
          <w:sz w:val="20"/>
          <w:szCs w:val="20"/>
          <w:color w:val="auto"/>
        </w:rPr>
      </w:pPr>
      <w:r>
        <w:rPr>
          <w:rFonts w:ascii="Times New Roman" w:cs="Times New Roman" w:eastAsia="Times New Roman" w:hAnsi="Times New Roman"/>
          <w:sz w:val="20"/>
          <w:szCs w:val="20"/>
          <w:color w:val="auto"/>
        </w:rPr>
        <w:t>21.4.</w:t>
        <w:tab/>
        <w:t>In the event of the absence or inability to act of one of more supervisory directors the remaining supervisory directors or supervisory director shall temporarily be responsible for the entire supervision. In the event of the absence or inability to act of all supervisory directors, one or more persons appointed by the general meeting of shareholders for this purpose at any time shall be temporarily responsible for the supervision.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22.</w:t>
      </w:r>
    </w:p>
    <w:p>
      <w:pPr>
        <w:spacing w:after="0" w:line="32" w:lineRule="exact"/>
        <w:rPr>
          <w:sz w:val="20"/>
          <w:szCs w:val="20"/>
          <w:color w:val="auto"/>
        </w:rPr>
      </w:pPr>
    </w:p>
    <w:p>
      <w:pPr>
        <w:ind w:left="660" w:hanging="647"/>
        <w:spacing w:after="0" w:line="288" w:lineRule="auto"/>
        <w:tabs>
          <w:tab w:leader="none" w:pos="640" w:val="left"/>
        </w:tabs>
        <w:rPr>
          <w:sz w:val="20"/>
          <w:szCs w:val="20"/>
          <w:color w:val="auto"/>
        </w:rPr>
      </w:pPr>
      <w:r>
        <w:rPr>
          <w:rFonts w:ascii="Times New Roman" w:cs="Times New Roman" w:eastAsia="Times New Roman" w:hAnsi="Times New Roman"/>
          <w:sz w:val="20"/>
          <w:szCs w:val="20"/>
          <w:color w:val="auto"/>
        </w:rPr>
        <w:t>22.1.</w:t>
        <w:tab/>
        <w:t>The supervisory board may pass resolutions by at least three quarters of the votes of the members in office. Each supervisory director has the right to cast one vote. In case of absence a supervisory director may issue a proxy, however, only to another supervisory director. The proxy should explicitly indicate in which way the vote must be cast. The supervisory board may pass resolutions in writing without holding a meeting provided that the proposals for such resolutions have been communicated in writing to all supervisory directors and no supervisory director is opposed to this method of passing a resolution.</w:t>
      </w:r>
    </w:p>
    <w:p>
      <w:pPr>
        <w:spacing w:after="0" w:line="76" w:lineRule="exact"/>
        <w:rPr>
          <w:sz w:val="20"/>
          <w:szCs w:val="20"/>
          <w:color w:val="auto"/>
        </w:rPr>
      </w:pPr>
    </w:p>
    <w:p>
      <w:pPr>
        <w:ind w:left="660" w:right="50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22.2.</w:t>
        <w:tab/>
        <w:t>A certificate signed by two supervisory directors to the effect that the supervisory board has passed a particular resolution shall constitute evidence of such a resolution in dealings with third parties.</w:t>
      </w:r>
    </w:p>
    <w:p>
      <w:pPr>
        <w:spacing w:after="0" w:line="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The managing directors shall attend meetings of the supervisory board at the latter's request.</w:t>
      </w:r>
    </w:p>
    <w:p>
      <w:pPr>
        <w:spacing w:after="0" w:line="148" w:lineRule="exact"/>
        <w:rPr>
          <w:sz w:val="20"/>
          <w:szCs w:val="20"/>
          <w:color w:val="auto"/>
        </w:rPr>
      </w:pPr>
    </w:p>
    <w:p>
      <w:pPr>
        <w:ind w:left="660" w:hanging="647"/>
        <w:spacing w:after="0" w:line="289" w:lineRule="auto"/>
        <w:tabs>
          <w:tab w:leader="none" w:pos="640" w:val="left"/>
        </w:tabs>
        <w:rPr>
          <w:sz w:val="20"/>
          <w:szCs w:val="20"/>
          <w:color w:val="auto"/>
        </w:rPr>
      </w:pPr>
      <w:r>
        <w:rPr>
          <w:rFonts w:ascii="Times New Roman" w:cs="Times New Roman" w:eastAsia="Times New Roman" w:hAnsi="Times New Roman"/>
          <w:sz w:val="20"/>
          <w:szCs w:val="20"/>
          <w:color w:val="auto"/>
        </w:rPr>
        <w:t>22.4.</w:t>
        <w:tab/>
        <w:t>The supervisory board shall meet whenever two or more of its members or the managing board so requests. Meetings of the supervisory board shall be convened by the chairman of the supervisory board, either on request of two or more supervisory directors or on request of the managing board, or by the supervisory directors requesting the meeting to be held. If the chairman fails to convene a meeting to be held within four weeks of the receipt of the request, the supervisory board members making the request are entitled to convene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2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22.5.</w:t>
        <w:tab/>
        <w:t>The supervisory board shall draw up standing orders regulating inter alia the manner of convening board meetings and the internal procedure at such meetings. These meetings may be held by telephone as well as by video.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23.</w:t>
      </w:r>
    </w:p>
    <w:p>
      <w:pPr>
        <w:spacing w:after="0" w:line="3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The general meeting of shareholders determines the compensation of the members of the supervisory board or of one or more of its members. The meeting shall have authority to decide whether such compensation will consist of a fixed amount and/or an amount that is variable in proportion to profits or any other factor. The supervisory board members shall be reimbursed for their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Indemnification.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24.</w:t>
      </w:r>
    </w:p>
    <w:p>
      <w:pPr>
        <w:spacing w:after="0" w:line="13" w:lineRule="exact"/>
        <w:rPr>
          <w:sz w:val="20"/>
          <w:szCs w:val="20"/>
          <w:color w:val="auto"/>
        </w:rPr>
      </w:pPr>
    </w:p>
    <w:p>
      <w:pPr>
        <w:ind w:left="660" w:right="20" w:hanging="647"/>
        <w:spacing w:after="0" w:line="284" w:lineRule="auto"/>
        <w:tabs>
          <w:tab w:leader="none" w:pos="640" w:val="left"/>
        </w:tabs>
        <w:rPr>
          <w:sz w:val="20"/>
          <w:szCs w:val="20"/>
          <w:color w:val="auto"/>
        </w:rPr>
      </w:pPr>
      <w:r>
        <w:rPr>
          <w:rFonts w:ascii="Times New Roman" w:cs="Times New Roman" w:eastAsia="Times New Roman" w:hAnsi="Times New Roman"/>
          <w:sz w:val="20"/>
          <w:szCs w:val="20"/>
          <w:color w:val="auto"/>
        </w:rPr>
        <w:t>24.1.</w:t>
        <w:tab/>
        <w:t>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is or was a supervisory director, managing director, officer or agent of the company, or was serving at the request of the company as a supervisory director, managing director, officer or agent of another company, a partnership, joint venture, trust or other enterprise, against all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or out of his mandate. The termination of any action, suit or proceeding by a judgment, order, settlement, conviction, or upon a plea of nolo contendere or its equivalent, shall not, of itself, create a presumption that the person did not act in good faith and not in a manner which he reasonably believed to be in or not opposed to the best interests of the company, and, with respect to any criminal action or proceeding, had reasonable cause to believe that his conduct was unlawful.</w:t>
      </w:r>
    </w:p>
    <w:p>
      <w:pPr>
        <w:spacing w:after="0" w:line="80"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20"/>
          <w:szCs w:val="20"/>
          <w:color w:val="auto"/>
        </w:rPr>
        <w:t>24.2.</w:t>
        <w:tab/>
        <w:t>The company shall indemnify any person who was or is a party or is threatened to be made a party to any threatened, pending or completed action or proceeding by or in the right of the company to procure a judgment in its favor, by reason of the fact that he is or was a supervisory director, managing director, officer or agent of the company, or is or was serving at the request of the company as a supervisory director, managing director, officer or agent of another company, a partnership, joint venture, trust or other enterprise, against expenses (including attorneys' fees) actually and reasonably incurred by him in connection with the defense or settlement of such action or proceeding if he acted in good faith and in a manner he reasonably believed to be in or not opposed to the best interests of the company and except that no indemnification shall be made in respect of any claim, issue or matter as to which such person shall have been adjudged to be liable for gross negligence or wilful misconduct in the performance of his duty to the company, unless and only to the extent that the court in which such action or proceeding was brought or any other court having appropriate jurisdiction shall determine upon application that, despite the adjudication of liability but in view of all the circumstances of the case, such person is fairly and reasonably entitled to indemnification against such expenses which the court in which such action or proceeding was brought or such other court having appropriate jurisdiction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79375</wp:posOffset>
            </wp:positionV>
            <wp:extent cx="11398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right="200" w:hanging="647"/>
        <w:spacing w:after="0" w:line="291" w:lineRule="auto"/>
        <w:tabs>
          <w:tab w:leader="none" w:pos="600" w:val="left"/>
        </w:tabs>
        <w:rPr>
          <w:sz w:val="20"/>
          <w:szCs w:val="20"/>
          <w:color w:val="auto"/>
        </w:rPr>
      </w:pPr>
      <w:r>
        <w:rPr>
          <w:rFonts w:ascii="Times New Roman" w:cs="Times New Roman" w:eastAsia="Times New Roman" w:hAnsi="Times New Roman"/>
          <w:sz w:val="20"/>
          <w:szCs w:val="20"/>
          <w:color w:val="auto"/>
        </w:rPr>
        <w:t>24.3.</w:t>
        <w:tab/>
        <w:t>To the extent that a supervisory director, managing director, officer or agent of the company has been successful on the merits or otherwise in defense of any action, suit of proceeding, referred to in paragraphs 1 and 2, or in defense of any claim, issue or matter therein, he shall be indemnified against expenses (including attorney's fees) actually and reasonable incurred by him in connection therewith.</w:t>
      </w:r>
    </w:p>
    <w:p>
      <w:pPr>
        <w:spacing w:after="0" w:line="73" w:lineRule="exact"/>
        <w:rPr>
          <w:sz w:val="20"/>
          <w:szCs w:val="20"/>
          <w:color w:val="auto"/>
        </w:rPr>
      </w:pPr>
    </w:p>
    <w:p>
      <w:pPr>
        <w:ind w:left="620" w:right="400" w:hanging="647"/>
        <w:spacing w:after="0" w:line="318" w:lineRule="auto"/>
        <w:tabs>
          <w:tab w:leader="none" w:pos="600" w:val="left"/>
        </w:tabs>
        <w:rPr>
          <w:sz w:val="20"/>
          <w:szCs w:val="20"/>
          <w:color w:val="auto"/>
        </w:rPr>
      </w:pPr>
      <w:r>
        <w:rPr>
          <w:rFonts w:ascii="Times New Roman" w:cs="Times New Roman" w:eastAsia="Times New Roman" w:hAnsi="Times New Roman"/>
          <w:sz w:val="20"/>
          <w:szCs w:val="20"/>
          <w:color w:val="auto"/>
        </w:rPr>
        <w:t>24.4.</w:t>
      </w:r>
      <w:r>
        <w:rPr>
          <w:sz w:val="20"/>
          <w:szCs w:val="20"/>
          <w:color w:val="auto"/>
        </w:rPr>
        <w:tab/>
      </w:r>
      <w:r>
        <w:rPr>
          <w:rFonts w:ascii="Times New Roman" w:cs="Times New Roman" w:eastAsia="Times New Roman" w:hAnsi="Times New Roman"/>
          <w:sz w:val="19"/>
          <w:szCs w:val="19"/>
          <w:color w:val="auto"/>
        </w:rPr>
        <w:t>Any indemnification by the company referred to in paragraphs 1 and 2 shall (unless ordered by a court) only be made upon a determination that indemnification of the supervisory director, managing director, officer or agent is proper in the circumstances because he had met the applicable standard of conduct set forth in paragraphs 1 and 2. Such determination shall be made:</w:t>
      </w:r>
    </w:p>
    <w:p>
      <w:pPr>
        <w:spacing w:after="0" w:line="50" w:lineRule="exact"/>
        <w:rPr>
          <w:sz w:val="20"/>
          <w:szCs w:val="20"/>
          <w:color w:val="auto"/>
        </w:rPr>
      </w:pPr>
    </w:p>
    <w:p>
      <w:pPr>
        <w:ind w:left="1260" w:right="200" w:hanging="644"/>
        <w:spacing w:after="0" w:line="281" w:lineRule="auto"/>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by the supervisory board by a majority vote in a meeting in which a quorum as mentioned in article 22, paragraph 1, and consisting of supervisory directors who were not parties to such action, suit or proceeding, is present;</w:t>
      </w:r>
    </w:p>
    <w:p>
      <w:pPr>
        <w:spacing w:after="0" w:line="1" w:lineRule="exact"/>
        <w:rPr>
          <w:rFonts w:ascii="Times New Roman" w:cs="Times New Roman" w:eastAsia="Times New Roman" w:hAnsi="Times New Roman"/>
          <w:sz w:val="20"/>
          <w:szCs w:val="20"/>
          <w:color w:val="auto"/>
        </w:rPr>
      </w:pPr>
    </w:p>
    <w:p>
      <w:pPr>
        <w:ind w:left="1260" w:right="60" w:hanging="644"/>
        <w:spacing w:after="0" w:line="281" w:lineRule="auto"/>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if such a quorum is not obtainable or although such a quorum is obtained if the majority passes a resolution to that effect, by independent legal counsel in a written opinion;</w:t>
      </w:r>
    </w:p>
    <w:p>
      <w:pPr>
        <w:spacing w:after="0" w:line="1"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by the general meeting of shareholders.</w:t>
      </w:r>
    </w:p>
    <w:p>
      <w:pPr>
        <w:spacing w:after="0" w:line="40" w:lineRule="exact"/>
        <w:rPr>
          <w:sz w:val="20"/>
          <w:szCs w:val="20"/>
          <w:color w:val="auto"/>
        </w:rPr>
      </w:pPr>
    </w:p>
    <w:p>
      <w:pPr>
        <w:ind w:left="620" w:hanging="647"/>
        <w:spacing w:after="0" w:line="291" w:lineRule="auto"/>
        <w:tabs>
          <w:tab w:leader="none" w:pos="600" w:val="left"/>
        </w:tabs>
        <w:rPr>
          <w:sz w:val="20"/>
          <w:szCs w:val="20"/>
          <w:color w:val="auto"/>
        </w:rPr>
      </w:pPr>
      <w:r>
        <w:rPr>
          <w:rFonts w:ascii="Times New Roman" w:cs="Times New Roman" w:eastAsia="Times New Roman" w:hAnsi="Times New Roman"/>
          <w:sz w:val="20"/>
          <w:szCs w:val="20"/>
          <w:color w:val="auto"/>
        </w:rPr>
        <w:t>24.5.</w:t>
        <w:tab/>
        <w:t>Expenses incurred in defending a civil or criminal action, suit or proceeding may be paid by the company in advance of the final disposition of such action, suit or proceeding upon a resolution of the supervisory board with respect to the specific case upon receipt of an undertaking by or on behalf of the supervisory director, managing director, officer or agent to repay such amount unless it shall ultimately be determined that he is entitled to be indemnified by the company as authorized in this article.</w:t>
      </w:r>
    </w:p>
    <w:p>
      <w:pPr>
        <w:spacing w:after="0" w:line="73" w:lineRule="exact"/>
        <w:rPr>
          <w:sz w:val="20"/>
          <w:szCs w:val="20"/>
          <w:color w:val="auto"/>
        </w:rPr>
      </w:pPr>
    </w:p>
    <w:p>
      <w:pPr>
        <w:ind w:left="620" w:right="100" w:hanging="647"/>
        <w:spacing w:after="0" w:line="289" w:lineRule="auto"/>
        <w:tabs>
          <w:tab w:leader="none" w:pos="600" w:val="left"/>
        </w:tabs>
        <w:rPr>
          <w:sz w:val="20"/>
          <w:szCs w:val="20"/>
          <w:color w:val="auto"/>
        </w:rPr>
      </w:pPr>
      <w:r>
        <w:rPr>
          <w:rFonts w:ascii="Times New Roman" w:cs="Times New Roman" w:eastAsia="Times New Roman" w:hAnsi="Times New Roman"/>
          <w:sz w:val="20"/>
          <w:szCs w:val="20"/>
          <w:color w:val="auto"/>
        </w:rPr>
        <w:t>24.6.</w:t>
        <w:tab/>
        <w:t>The indemnification provided for by this article shall not be deemed exclusive of any other right to which a person seeking indemnification may be entitled under any by-laws, agreement, resolution of the general meeting of shareholders or of the disinterested supervisory directors or otherwise, both as to actions in his official capacity and as to actions in another capacity while holding such position, and shall continue as to a person who has ceased to be a supervisory director, managing director, officer or agent and shall also inure to the benefit of the heirs, executors and administrators of such a person.</w:t>
      </w:r>
    </w:p>
    <w:p>
      <w:pPr>
        <w:spacing w:after="0" w:line="73" w:lineRule="exact"/>
        <w:rPr>
          <w:sz w:val="20"/>
          <w:szCs w:val="20"/>
          <w:color w:val="auto"/>
        </w:rPr>
      </w:pPr>
    </w:p>
    <w:p>
      <w:pPr>
        <w:ind w:left="620" w:right="60" w:hanging="647"/>
        <w:spacing w:after="0" w:line="289" w:lineRule="auto"/>
        <w:tabs>
          <w:tab w:leader="none" w:pos="600" w:val="left"/>
        </w:tabs>
        <w:rPr>
          <w:sz w:val="20"/>
          <w:szCs w:val="20"/>
          <w:color w:val="auto"/>
        </w:rPr>
      </w:pPr>
      <w:r>
        <w:rPr>
          <w:rFonts w:ascii="Times New Roman" w:cs="Times New Roman" w:eastAsia="Times New Roman" w:hAnsi="Times New Roman"/>
          <w:sz w:val="20"/>
          <w:szCs w:val="20"/>
          <w:color w:val="auto"/>
        </w:rPr>
        <w:t>24.7.</w:t>
        <w:tab/>
        <w:t>The company shall have the power to purchase and maintain insurance on behalf of any person who is or was a supervisory director, managing director, officer or agent of the company, or is or was serving at the request of the company as a supervisory director, managing director, officer, employee or agent of another company, a partnership, joint venture, trust or other enterprise, against any liability asserted against him and incurred by him in any such capacity or arising out of his capacity as such, whether or not the company would have the power to indemnify him against such liability under the provisions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189865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220" w:right="37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60" w:hanging="647"/>
        <w:spacing w:after="0" w:line="285" w:lineRule="auto"/>
        <w:tabs>
          <w:tab w:leader="none" w:pos="640" w:val="left"/>
        </w:tabs>
        <w:rPr>
          <w:sz w:val="20"/>
          <w:szCs w:val="20"/>
          <w:color w:val="auto"/>
        </w:rPr>
      </w:pPr>
      <w:r>
        <w:rPr>
          <w:rFonts w:ascii="Times New Roman" w:cs="Times New Roman" w:eastAsia="Times New Roman" w:hAnsi="Times New Roman"/>
          <w:sz w:val="20"/>
          <w:szCs w:val="20"/>
          <w:color w:val="auto"/>
        </w:rPr>
        <w:t>24.8.</w:t>
        <w:tab/>
        <w:t>Whenever in this article reference is being made to the company, this shall include, in addition to the resulting or surviving company also any constituent company (including any constituent company of a constituent company) absorbed in a consolidation or merger which, if its separate existence had continued, would have had the power to indemnify its supervisory directors, managing directors, officers and agents, so that any person who is or was a supervisory director, managing director, officer or agent of such constituent company, or is or was serving at the request of such constituent company as a supervisory director, managing director, officer or agent of another company, a partnership, joint venture, trust or other enterprise, shall stand in the same position under the provisions of this article with respect to the resulting or surviving company as he would have with respect to such constituent company if its separate existence had continued.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meeting of shareholders.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25.</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19"/>
          <w:szCs w:val="19"/>
          <w:color w:val="auto"/>
        </w:rPr>
        <w:t>The ordinary general meeting of shareholders shall be held each year within six months after the close of the financial year.</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19"/>
          <w:szCs w:val="19"/>
          <w:color w:val="auto"/>
        </w:rPr>
        <w:t>At this general meeting of shareholders shall be dealt with:</w:t>
      </w:r>
    </w:p>
    <w:p>
      <w:pPr>
        <w:spacing w:after="0" w:line="148" w:lineRule="exact"/>
        <w:rPr>
          <w:sz w:val="20"/>
          <w:szCs w:val="20"/>
          <w:color w:val="auto"/>
        </w:rPr>
      </w:pPr>
    </w:p>
    <w:p>
      <w:pPr>
        <w:ind w:left="1300" w:right="220" w:hanging="644"/>
        <w:spacing w:after="0" w:line="281" w:lineRule="auto"/>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written report of the managing board on the course of business of the company and the conduct of its affairs during the past financial year, and the report of the supervisory board on the annual accounts;</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the annual accounts and the declaration of dividend in the manner laid down in article 37;</w:t>
      </w:r>
    </w:p>
    <w:p>
      <w:pPr>
        <w:spacing w:after="0" w:line="40" w:lineRule="exact"/>
        <w:rPr>
          <w:rFonts w:ascii="Times New Roman" w:cs="Times New Roman" w:eastAsia="Times New Roman" w:hAnsi="Times New Roman"/>
          <w:sz w:val="20"/>
          <w:szCs w:val="20"/>
          <w:color w:val="auto"/>
        </w:rPr>
      </w:pPr>
    </w:p>
    <w:p>
      <w:pPr>
        <w:ind w:left="1300" w:right="240" w:hanging="644"/>
        <w:spacing w:after="0" w:line="281" w:lineRule="auto"/>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granting of discharge to the managing directors for their management during the past financial year and to the members of the supervisory board for their supervision on such management;</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filling vacancies in the managing board in accordance with the provisions of article 12;</w:t>
      </w:r>
    </w:p>
    <w:p>
      <w:pPr>
        <w:spacing w:after="0" w:line="4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filling vacancies in the supervisory board in accordance with the provisions of article 19;</w:t>
      </w:r>
    </w:p>
    <w:p>
      <w:pPr>
        <w:spacing w:after="0" w:line="4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proposals placed on the agenda by the managing board or by the supervisory board, together with proposals made by</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shareholders in accordance with the provisions of these articles of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26.</w:t>
      </w:r>
    </w:p>
    <w:p>
      <w:pPr>
        <w:spacing w:after="0" w:line="13" w:lineRule="exact"/>
        <w:rPr>
          <w:sz w:val="20"/>
          <w:szCs w:val="20"/>
          <w:color w:val="auto"/>
        </w:rPr>
      </w:pPr>
    </w:p>
    <w:p>
      <w:pPr>
        <w:ind w:left="660" w:hanging="647"/>
        <w:spacing w:after="0" w:line="290" w:lineRule="auto"/>
        <w:tabs>
          <w:tab w:leader="none" w:pos="640" w:val="left"/>
        </w:tabs>
        <w:rPr>
          <w:sz w:val="20"/>
          <w:szCs w:val="20"/>
          <w:color w:val="auto"/>
        </w:rPr>
      </w:pPr>
      <w:r>
        <w:rPr>
          <w:rFonts w:ascii="Times New Roman" w:cs="Times New Roman" w:eastAsia="Times New Roman" w:hAnsi="Times New Roman"/>
          <w:sz w:val="20"/>
          <w:szCs w:val="20"/>
          <w:color w:val="auto"/>
        </w:rPr>
        <w:t>26.1.</w:t>
        <w:tab/>
        <w:t>Extraordinary general meetings of shareholders shall be held as often as deemed necessary by the supervisory board and shall be held if one or more shareholders and other persons entitled to attend the meetings of shareholders jointly representing at least one-tenth of the issued share capital make a written request to that effect to the managing board or supervisory board, specifying in detail the business to be dealt with.</w:t>
      </w:r>
    </w:p>
    <w:p>
      <w:pPr>
        <w:spacing w:after="0" w:line="75" w:lineRule="exact"/>
        <w:rPr>
          <w:sz w:val="20"/>
          <w:szCs w:val="20"/>
          <w:color w:val="auto"/>
        </w:rPr>
      </w:pPr>
    </w:p>
    <w:p>
      <w:pPr>
        <w:ind w:left="660" w:right="260" w:hanging="647"/>
        <w:spacing w:after="0" w:line="318" w:lineRule="auto"/>
        <w:tabs>
          <w:tab w:leader="none" w:pos="640" w:val="left"/>
        </w:tabs>
        <w:rPr>
          <w:sz w:val="20"/>
          <w:szCs w:val="20"/>
          <w:color w:val="auto"/>
        </w:rPr>
      </w:pPr>
      <w:r>
        <w:rPr>
          <w:rFonts w:ascii="Times New Roman" w:cs="Times New Roman" w:eastAsia="Times New Roman" w:hAnsi="Times New Roman"/>
          <w:sz w:val="20"/>
          <w:szCs w:val="20"/>
          <w:color w:val="auto"/>
        </w:rPr>
        <w:t>26.2.</w:t>
      </w:r>
      <w:r>
        <w:rPr>
          <w:sz w:val="20"/>
          <w:szCs w:val="20"/>
          <w:color w:val="auto"/>
        </w:rPr>
        <w:tab/>
      </w:r>
      <w:r>
        <w:rPr>
          <w:rFonts w:ascii="Times New Roman" w:cs="Times New Roman" w:eastAsia="Times New Roman" w:hAnsi="Times New Roman"/>
          <w:sz w:val="19"/>
          <w:szCs w:val="19"/>
          <w:color w:val="auto"/>
        </w:rPr>
        <w:t>If the managing board or supervisory board fail to comply with a request under paragraph 1 above in such manner that the general meeting of shareholders can be held within six weeks after the request, the persons making the request may be authorized by the President of the Court within whose jurisdiction the company is established to convene the meeting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120" w:hanging="647"/>
        <w:spacing w:after="0" w:line="291" w:lineRule="auto"/>
        <w:tabs>
          <w:tab w:leader="none" w:pos="640" w:val="left"/>
        </w:tabs>
        <w:rPr>
          <w:sz w:val="20"/>
          <w:szCs w:val="20"/>
          <w:color w:val="auto"/>
        </w:rPr>
      </w:pPr>
      <w:r>
        <w:rPr>
          <w:rFonts w:ascii="Times New Roman" w:cs="Times New Roman" w:eastAsia="Times New Roman" w:hAnsi="Times New Roman"/>
          <w:sz w:val="20"/>
          <w:szCs w:val="20"/>
          <w:color w:val="auto"/>
        </w:rPr>
        <w:t>26.3.</w:t>
        <w:tab/>
        <w:t>Written requests as referred to in paragraph 1 of this article, section 110, subsection 1, Book 2, Dutch Civil Code and article 28 paragraphs 2 and 3 may not be submitted electronically. Requests as referred to in paragraph 1 of this article, article 28 paragraphs 2 and 3 and section 110, subsection 1, Book 2, Dutch Civil Code shall comply with conditions stipulated by the managing board, subject to the approval of the supervisory board, which conditions shall be posted on the company's website.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27.</w:t>
      </w:r>
    </w:p>
    <w:p>
      <w:pPr>
        <w:spacing w:after="0" w:line="32" w:lineRule="exact"/>
        <w:rPr>
          <w:sz w:val="20"/>
          <w:szCs w:val="20"/>
          <w:color w:val="auto"/>
        </w:rPr>
      </w:pPr>
    </w:p>
    <w:p>
      <w:pPr>
        <w:ind w:left="660" w:right="28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27.1.</w:t>
        <w:tab/>
        <w:t>General meetings of shareholders shall be held in Amsterdam, Haarlemmermeer (Schiphol Airport), Rotterdam or The Hague; the notice convening the meeting shall inform the shareholders and other persons entitled to attend the meetings of shareholders accordingly.</w:t>
      </w:r>
    </w:p>
    <w:p>
      <w:pPr>
        <w:spacing w:after="0" w:line="68"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20"/>
          <w:szCs w:val="20"/>
          <w:color w:val="auto"/>
        </w:rPr>
        <w:t>27.2.</w:t>
        <w:tab/>
        <w:t>Notice of general meetings of shareholders shall be given by the managing board or by the supervisory board or by those who according to the law or these articles of association are entitled thereto. The notice shall be given in such manner as shall be authorized or required by law (including but not limited to a written notice, a legible and reproducible message sent by electronic means and an announcement published by electronic means), as well as in accordance with the regulations of a stock exchange where the shares in the company's share capital are officially listed at the company’s request. In addition, shareholders and other persons entitled to attend the meetings of shareholders which are registered in the share register of the company shall be notified by letter that the meeting is being convened.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28.</w:t>
      </w:r>
    </w:p>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28.1.</w:t>
      </w:r>
      <w:r>
        <w:rPr>
          <w:sz w:val="20"/>
          <w:szCs w:val="20"/>
          <w:color w:val="auto"/>
        </w:rPr>
        <w:tab/>
      </w:r>
      <w:r>
        <w:rPr>
          <w:rFonts w:ascii="Times New Roman" w:cs="Times New Roman" w:eastAsia="Times New Roman" w:hAnsi="Times New Roman"/>
          <w:sz w:val="19"/>
          <w:szCs w:val="19"/>
          <w:color w:val="auto"/>
        </w:rPr>
        <w:t>The notice convening the meeting referred to in the foregoing shall be given with due observance of the statutory notice period.</w:t>
      </w:r>
    </w:p>
    <w:p>
      <w:pPr>
        <w:spacing w:after="0" w:line="146" w:lineRule="exact"/>
        <w:rPr>
          <w:sz w:val="20"/>
          <w:szCs w:val="20"/>
          <w:color w:val="auto"/>
        </w:rPr>
      </w:pPr>
    </w:p>
    <w:p>
      <w:pPr>
        <w:ind w:left="660" w:right="160" w:hanging="647"/>
        <w:spacing w:after="0" w:line="289" w:lineRule="auto"/>
        <w:tabs>
          <w:tab w:leader="none" w:pos="640" w:val="left"/>
        </w:tabs>
        <w:rPr>
          <w:sz w:val="20"/>
          <w:szCs w:val="20"/>
          <w:color w:val="auto"/>
        </w:rPr>
      </w:pPr>
      <w:r>
        <w:rPr>
          <w:rFonts w:ascii="Times New Roman" w:cs="Times New Roman" w:eastAsia="Times New Roman" w:hAnsi="Times New Roman"/>
          <w:sz w:val="20"/>
          <w:szCs w:val="20"/>
          <w:color w:val="auto"/>
        </w:rPr>
        <w:t>28.2.</w:t>
        <w:tab/>
        <w:t>The agenda shall contain such business as may be placed thereon by the person(s) entitled to convene the meeting, and furthermore such business as one or more shareholders, representing at least one-tenth of the issued share capital, have requested the managing board or supervisory board to place on the agenda at least five days before the date on which the meeting is convened. Nominations for appointment to the managing board and the supervisory board cannot be placed on the agenda by the managing board. No resolution shall be passed at the meeting in respect of matters not on the agenda.</w:t>
      </w:r>
    </w:p>
    <w:p>
      <w:pPr>
        <w:spacing w:after="0" w:line="73" w:lineRule="exact"/>
        <w:rPr>
          <w:sz w:val="20"/>
          <w:szCs w:val="20"/>
          <w:color w:val="auto"/>
        </w:rPr>
      </w:pPr>
    </w:p>
    <w:p>
      <w:pPr>
        <w:ind w:left="660" w:right="80" w:hanging="647"/>
        <w:spacing w:after="0" w:line="289" w:lineRule="auto"/>
        <w:tabs>
          <w:tab w:leader="none" w:pos="640" w:val="left"/>
        </w:tabs>
        <w:rPr>
          <w:sz w:val="20"/>
          <w:szCs w:val="20"/>
          <w:color w:val="auto"/>
        </w:rPr>
      </w:pPr>
      <w:r>
        <w:rPr>
          <w:rFonts w:ascii="Times New Roman" w:cs="Times New Roman" w:eastAsia="Times New Roman" w:hAnsi="Times New Roman"/>
          <w:sz w:val="20"/>
          <w:szCs w:val="20"/>
          <w:color w:val="auto"/>
        </w:rPr>
        <w:t>28.3.</w:t>
        <w:tab/>
        <w:t>Notwithstanding paragraph 2, proposals of persons who are entitled to attend the meetings of shareholders will be included in the agenda, if such proposal is made in writing to the managing board within a period of sixty days before that meeting by persons who are entitled to attend the meetings of shareholders, who solely or jointly, represent at least one per cent (1%) of the company's issued share capital or a market value of at least fifty million euro (EUR 50,000,000), unless the company determines that such proposal would conflict with substantial interests of the company.</w:t>
      </w:r>
    </w:p>
    <w:p>
      <w:pPr>
        <w:spacing w:after="0" w:line="73" w:lineRule="exact"/>
        <w:rPr>
          <w:sz w:val="20"/>
          <w:szCs w:val="20"/>
          <w:color w:val="auto"/>
        </w:rPr>
      </w:pPr>
    </w:p>
    <w:p>
      <w:pPr>
        <w:ind w:left="660" w:right="98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28.4.</w:t>
        <w:tab/>
        <w:t>The notice shall state the business to be transacted as well as the other information prescribed by law and these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29.</w:t>
      </w:r>
    </w:p>
    <w:p>
      <w:pPr>
        <w:spacing w:after="0" w:line="32" w:lineRule="exact"/>
        <w:rPr>
          <w:sz w:val="20"/>
          <w:szCs w:val="20"/>
          <w:color w:val="auto"/>
        </w:rPr>
      </w:pPr>
    </w:p>
    <w:p>
      <w:pPr>
        <w:ind w:left="660" w:right="22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29.1.</w:t>
        <w:tab/>
        <w:t>General meetings of shareholders shall be presided over by the chairman of the supervisory board or in his absence by the vice-chairman of the supervisory board. In case of absence of the chairman and the vice- chairman of the supervisory board the meeting shall be presided by any other person nominated by the supervisory board.</w:t>
      </w:r>
    </w:p>
    <w:p>
      <w:pPr>
        <w:spacing w:after="0" w:line="68" w:lineRule="exact"/>
        <w:rPr>
          <w:sz w:val="20"/>
          <w:szCs w:val="20"/>
          <w:color w:val="auto"/>
        </w:rPr>
      </w:pPr>
    </w:p>
    <w:p>
      <w:pPr>
        <w:ind w:left="660" w:right="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29.2.</w:t>
        <w:tab/>
        <w:t>Minutes shall be kept of the business transacted at a general meeting of shareholders, which minutes shall be drawn up and signed by the chairman and by a person appointed by him immediately after the opening of the meeting.</w:t>
      </w:r>
    </w:p>
    <w:p>
      <w:pPr>
        <w:spacing w:after="0" w:line="52" w:lineRule="exact"/>
        <w:rPr>
          <w:sz w:val="20"/>
          <w:szCs w:val="20"/>
          <w:color w:val="auto"/>
        </w:rPr>
      </w:pPr>
    </w:p>
    <w:p>
      <w:pPr>
        <w:ind w:left="6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29.3.</w:t>
        <w:tab/>
        <w:t>Where the minutes are drawn up before a civil-law notary, the chairman's signature, together with that of the civil-law notary, shall be sufficient.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30.</w:t>
      </w:r>
    </w:p>
    <w:p>
      <w:pPr>
        <w:spacing w:after="0" w:line="32" w:lineRule="exact"/>
        <w:rPr>
          <w:sz w:val="20"/>
          <w:szCs w:val="20"/>
          <w:color w:val="auto"/>
        </w:rPr>
      </w:pPr>
    </w:p>
    <w:p>
      <w:pPr>
        <w:ind w:left="660" w:right="56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30.1.</w:t>
        <w:tab/>
        <w:t>All shareholders and other persons entitled to attend the meetings of shareholders are entitled to attend the general meetings of shareholders, to address the general meeting of shareholders and, if applicable, to vote.</w:t>
      </w:r>
    </w:p>
    <w:p>
      <w:pPr>
        <w:spacing w:after="0" w:line="54" w:lineRule="exact"/>
        <w:rPr>
          <w:sz w:val="20"/>
          <w:szCs w:val="20"/>
          <w:color w:val="auto"/>
        </w:rPr>
      </w:pPr>
    </w:p>
    <w:p>
      <w:pPr>
        <w:ind w:left="660" w:right="60"/>
        <w:spacing w:after="0" w:line="281" w:lineRule="auto"/>
        <w:rPr>
          <w:sz w:val="20"/>
          <w:szCs w:val="20"/>
          <w:color w:val="auto"/>
        </w:rPr>
      </w:pPr>
      <w:r>
        <w:rPr>
          <w:rFonts w:ascii="Times New Roman" w:cs="Times New Roman" w:eastAsia="Times New Roman" w:hAnsi="Times New Roman"/>
          <w:sz w:val="20"/>
          <w:szCs w:val="20"/>
          <w:color w:val="auto"/>
        </w:rPr>
        <w:t>Subject to the approval of the supervisory board, the managing board may resolve that holders of shares and other persons entitled to attend the meetings of shareholders are authorized to directly take note of the business transacted at the meeting via an electronic means of communication.</w:t>
      </w:r>
    </w:p>
    <w:p>
      <w:pPr>
        <w:spacing w:after="0" w:line="2" w:lineRule="exact"/>
        <w:rPr>
          <w:sz w:val="20"/>
          <w:szCs w:val="20"/>
          <w:color w:val="auto"/>
        </w:rPr>
      </w:pPr>
    </w:p>
    <w:p>
      <w:pPr>
        <w:ind w:left="660" w:right="20"/>
        <w:spacing w:after="0" w:line="281" w:lineRule="auto"/>
        <w:rPr>
          <w:sz w:val="20"/>
          <w:szCs w:val="20"/>
          <w:color w:val="auto"/>
        </w:rPr>
      </w:pPr>
      <w:r>
        <w:rPr>
          <w:rFonts w:ascii="Times New Roman" w:cs="Times New Roman" w:eastAsia="Times New Roman" w:hAnsi="Times New Roman"/>
          <w:sz w:val="20"/>
          <w:szCs w:val="20"/>
          <w:color w:val="auto"/>
        </w:rPr>
        <w:t>The general meeting of shareholders may lay down rules regulating, inter alia, the length of time for which shareholders may speak. In so far as such rules are not applicable, the chairman may regulate the time for which shareholders may speak if he considers this to be desirable with a view to the orderly conduct of the meeting.</w:t>
      </w:r>
    </w:p>
    <w:p>
      <w:pPr>
        <w:spacing w:after="0" w:line="2"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auto"/>
        </w:rPr>
        <w:t>30.2.</w:t>
        <w:tab/>
        <w:t>Only if the law does not prescribe a fixed record date, the managing board shall, with due observance of the relevant statutory provisions, determine a record date for the general meeting of shareholders. Persons entitled to attend the meetings of shareholders are those who at the record date have these rights and have been registered as such in a register designated by the managing board for that purpose, regardless of who would have been entitled to attend the general meeting of shareholders if a record date as contemplated in this paragraph had not been determined. The convocation notice for the meeting shall state the record date and the manner in which the persons entitled to attend the meetings of shareholders may register and exercise their rights.</w:t>
      </w:r>
    </w:p>
    <w:p>
      <w:pPr>
        <w:spacing w:after="0" w:line="78" w:lineRule="exact"/>
        <w:rPr>
          <w:sz w:val="20"/>
          <w:szCs w:val="20"/>
          <w:color w:val="auto"/>
        </w:rPr>
      </w:pPr>
    </w:p>
    <w:p>
      <w:pPr>
        <w:ind w:left="660" w:right="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color w:val="auto"/>
        </w:rPr>
        <w:t>The managing board may, subject to the approval of the supervisory board, decide that persons entitled to attend the meetings of shareholders and vote thereat may, within a period prior to the general meeting of shareholders to be set by the managing board, which period cannot start prior to the record date as meant in the previous paragraph, cast their votes electronically in a manner to be decided by the managing board and/or by post. Votes cast in accordance with the previous sentence equal votes cast at the meeting.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31.</w:t>
      </w:r>
    </w:p>
    <w:p>
      <w:pPr>
        <w:spacing w:after="0" w:line="32" w:lineRule="exact"/>
        <w:rPr>
          <w:sz w:val="20"/>
          <w:szCs w:val="20"/>
          <w:color w:val="auto"/>
        </w:rPr>
      </w:pPr>
    </w:p>
    <w:p>
      <w:pPr>
        <w:ind w:left="660" w:right="80" w:hanging="647"/>
        <w:spacing w:after="0" w:line="290" w:lineRule="auto"/>
        <w:tabs>
          <w:tab w:leader="none" w:pos="640" w:val="left"/>
        </w:tabs>
        <w:rPr>
          <w:sz w:val="20"/>
          <w:szCs w:val="20"/>
          <w:color w:val="auto"/>
        </w:rPr>
      </w:pPr>
      <w:r>
        <w:rPr>
          <w:rFonts w:ascii="Times New Roman" w:cs="Times New Roman" w:eastAsia="Times New Roman" w:hAnsi="Times New Roman"/>
          <w:sz w:val="20"/>
          <w:szCs w:val="20"/>
          <w:color w:val="auto"/>
        </w:rPr>
        <w:t>31.1.</w:t>
        <w:tab/>
        <w:t>Shareholders and other persons entitled to attend the meetings of shareholders may be represented by proxies with written authority. If the meeting rights are exercised in accordance with article 30, paragraph 2, by a person authorized in writing, the proxy with written authority must be received by the person designated by the corporate body convening the general meeting of shareholders no later than at the date as mentioned in the notice convening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8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31.2.</w:t>
        <w:tab/>
        <w:t>All matters regarding the admittance to the general meeting of shareholders, the exercise of voting rights and the result of votings, as well as any other matters regarding the affairs at the general meeting of shareholders shall be decided upon by the chairman of that meeting, with due observance of the provisions of section 13, Book 2, Dutch Civil Code.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32.</w:t>
      </w:r>
    </w:p>
    <w:p>
      <w:pPr>
        <w:spacing w:after="0" w:line="32" w:lineRule="exact"/>
        <w:rPr>
          <w:sz w:val="20"/>
          <w:szCs w:val="20"/>
          <w:color w:val="auto"/>
        </w:rPr>
      </w:pPr>
    </w:p>
    <w:p>
      <w:pPr>
        <w:ind w:left="660" w:right="60" w:hanging="647"/>
        <w:spacing w:after="0" w:line="317" w:lineRule="auto"/>
        <w:tabs>
          <w:tab w:leader="none" w:pos="64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color w:val="auto"/>
        </w:rPr>
        <w:t>Unless otherwise stated in these articles, resolutions shall be adopted by simple majority of votes of the shareholders having the right to vote in a meeting of shareholders where at least fifteen per cent of the issued capital is present or represented. Blank and invalid votes shall not be counted. The chairman shall decide on the method of voting and on the possibility of voting by acclamation.</w:t>
      </w:r>
    </w:p>
    <w:p>
      <w:pPr>
        <w:spacing w:after="0" w:line="50" w:lineRule="exact"/>
        <w:rPr>
          <w:sz w:val="20"/>
          <w:szCs w:val="20"/>
          <w:color w:val="auto"/>
        </w:rPr>
      </w:pPr>
    </w:p>
    <w:p>
      <w:pPr>
        <w:ind w:left="660" w:right="24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32.2.</w:t>
        <w:tab/>
        <w:t>Where the voting concerns appointments, further polls shall, if necessary, be taken until one of the nominees has obtained a simple majority, such with due observance of the provision of paragraph 1 of this article. The further poll or polls may, at the chairman's discretion, be taken at a subsequent meeting.</w:t>
      </w:r>
    </w:p>
    <w:p>
      <w:pPr>
        <w:spacing w:after="0" w:line="67" w:lineRule="exact"/>
        <w:rPr>
          <w:sz w:val="20"/>
          <w:szCs w:val="20"/>
          <w:color w:val="auto"/>
        </w:rPr>
      </w:pPr>
    </w:p>
    <w:p>
      <w:pPr>
        <w:ind w:left="660" w:right="68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32.3.</w:t>
        <w:tab/>
        <w:t>Except as provided in paragraph 2, in case of an equality of the votes cast the relevant proposal shall be deemed to have been rejected.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33.</w:t>
      </w:r>
    </w:p>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19"/>
          <w:szCs w:val="19"/>
          <w:color w:val="auto"/>
        </w:rPr>
        <w:t>At the general meeting of shareholders each share shall confer the right to cast one vote.</w:t>
      </w:r>
    </w:p>
    <w:p>
      <w:pPr>
        <w:spacing w:after="0" w:line="146" w:lineRule="exact"/>
        <w:rPr>
          <w:sz w:val="20"/>
          <w:szCs w:val="20"/>
          <w:color w:val="auto"/>
        </w:rPr>
      </w:pPr>
    </w:p>
    <w:p>
      <w:pPr>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auto"/>
        </w:rPr>
        <w:t>33.2.</w:t>
        <w:tab/>
        <w:t>The managing board may, subject to the approval of the supervisory board, resolve that each person entitled to attend and vote at the meetings of shareholders is authorized to vote via an electronic means of communication, either in person or by a person authorized in writing, provided that such person can be identified via the electronic means of communication and furthermore provided that such person can directly take note of the business transacted at the meeting. The managing board may, subject to the approval of the supervisory board, attach conditions to the use of the electronic means of communication, which conditions shall be announced in the notice convening the general meeting of shareholders and shall posted on the company's website.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Meetings of holders of shares of a particular class.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34.</w:t>
      </w:r>
    </w:p>
    <w:p>
      <w:pPr>
        <w:spacing w:after="0" w:line="13" w:lineRule="exact"/>
        <w:rPr>
          <w:sz w:val="20"/>
          <w:szCs w:val="20"/>
          <w:color w:val="auto"/>
        </w:rPr>
      </w:pPr>
    </w:p>
    <w:p>
      <w:pPr>
        <w:ind w:left="660" w:right="120" w:hanging="647"/>
        <w:spacing w:after="0" w:line="290" w:lineRule="auto"/>
        <w:tabs>
          <w:tab w:leader="none" w:pos="640" w:val="left"/>
        </w:tabs>
        <w:rPr>
          <w:sz w:val="20"/>
          <w:szCs w:val="20"/>
          <w:color w:val="auto"/>
        </w:rPr>
      </w:pPr>
      <w:r>
        <w:rPr>
          <w:rFonts w:ascii="Times New Roman" w:cs="Times New Roman" w:eastAsia="Times New Roman" w:hAnsi="Times New Roman"/>
          <w:sz w:val="20"/>
          <w:szCs w:val="20"/>
          <w:color w:val="auto"/>
        </w:rPr>
        <w:t>34.1.</w:t>
        <w:tab/>
        <w:t>A meeting of holders of preference shares shall be held whenever required by virtue of the provisions of these articles of association and further whenever the managing board and/or the supervisory board shall decide, and also whenever one or more holders of preference shares so request the managing board and/or the supervisory board in writing, stating the items of business to be transacted.</w:t>
      </w:r>
    </w:p>
    <w:p>
      <w:pPr>
        <w:spacing w:after="0" w:line="75" w:lineRule="exact"/>
        <w:rPr>
          <w:sz w:val="20"/>
          <w:szCs w:val="20"/>
          <w:color w:val="auto"/>
        </w:rPr>
      </w:pPr>
    </w:p>
    <w:p>
      <w:pPr>
        <w:ind w:left="660" w:right="60"/>
        <w:spacing w:after="0" w:line="281" w:lineRule="auto"/>
        <w:rPr>
          <w:sz w:val="20"/>
          <w:szCs w:val="20"/>
          <w:color w:val="auto"/>
        </w:rPr>
      </w:pPr>
      <w:r>
        <w:rPr>
          <w:rFonts w:ascii="Times New Roman" w:cs="Times New Roman" w:eastAsia="Times New Roman" w:hAnsi="Times New Roman"/>
          <w:sz w:val="20"/>
          <w:szCs w:val="20"/>
          <w:color w:val="auto"/>
        </w:rPr>
        <w:t>If after receipt of a request as referred to in the preceding sentence neither the managing board nor the supervisory board has called a meeting in such a way that the meeting is held within four weeks of receipt, the applicant(s) shall be authorized to call the meeting themselves, with due observance of the relevant provisions of these articles of association.</w:t>
      </w:r>
    </w:p>
    <w:p>
      <w:pPr>
        <w:spacing w:after="0" w:line="2" w:lineRule="exact"/>
        <w:rPr>
          <w:sz w:val="20"/>
          <w:szCs w:val="20"/>
          <w:color w:val="auto"/>
        </w:rPr>
      </w:pPr>
    </w:p>
    <w:p>
      <w:pPr>
        <w:ind w:left="660" w:right="22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34.2.</w:t>
        <w:tab/>
        <w:t>The managing directors and the supervisory directors shall have the right to attend meetings of holders of preference shares; in that capacity they shall have an advisory vote. Notice of a meeting of holders of preference shares shall be given by letters sent to all holders of preference shares. The notice shall state the items of business to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40" w:hanging="647"/>
        <w:spacing w:after="0" w:line="291" w:lineRule="auto"/>
        <w:tabs>
          <w:tab w:leader="none" w:pos="640" w:val="left"/>
        </w:tabs>
        <w:rPr>
          <w:sz w:val="20"/>
          <w:szCs w:val="20"/>
          <w:color w:val="auto"/>
        </w:rPr>
      </w:pPr>
      <w:r>
        <w:rPr>
          <w:rFonts w:ascii="Times New Roman" w:cs="Times New Roman" w:eastAsia="Times New Roman" w:hAnsi="Times New Roman"/>
          <w:sz w:val="20"/>
          <w:szCs w:val="20"/>
          <w:color w:val="auto"/>
        </w:rPr>
        <w:t>34.3.</w:t>
        <w:tab/>
        <w:t>Articles 27 up to and including 33 shall apply accordingly to meetings of holders of preference shares, with the proviso that the notice convening such a meeting shall only take place by letter or - if the relevant person entitled to attend such meeting so agrees - via a legible and reproducible message sent by electronic mail to the address notified for this purpose to the company by the relevant person entitled to attend such meetings.</w:t>
      </w:r>
    </w:p>
    <w:p>
      <w:pPr>
        <w:spacing w:after="0" w:line="73" w:lineRule="exact"/>
        <w:rPr>
          <w:sz w:val="20"/>
          <w:szCs w:val="20"/>
          <w:color w:val="auto"/>
        </w:rPr>
      </w:pPr>
    </w:p>
    <w:p>
      <w:pPr>
        <w:ind w:left="660" w:hanging="647"/>
        <w:spacing w:after="0" w:line="318" w:lineRule="auto"/>
        <w:tabs>
          <w:tab w:leader="none" w:pos="640" w:val="left"/>
        </w:tabs>
        <w:rPr>
          <w:sz w:val="20"/>
          <w:szCs w:val="20"/>
          <w:color w:val="auto"/>
        </w:rPr>
      </w:pPr>
      <w:r>
        <w:rPr>
          <w:rFonts w:ascii="Times New Roman" w:cs="Times New Roman" w:eastAsia="Times New Roman" w:hAnsi="Times New Roman"/>
          <w:sz w:val="20"/>
          <w:szCs w:val="20"/>
          <w:color w:val="auto"/>
        </w:rPr>
        <w:t>34.4.</w:t>
      </w:r>
      <w:r>
        <w:rPr>
          <w:sz w:val="20"/>
          <w:szCs w:val="20"/>
          <w:color w:val="auto"/>
        </w:rPr>
        <w:tab/>
      </w:r>
      <w:r>
        <w:rPr>
          <w:rFonts w:ascii="Times New Roman" w:cs="Times New Roman" w:eastAsia="Times New Roman" w:hAnsi="Times New Roman"/>
          <w:sz w:val="19"/>
          <w:szCs w:val="19"/>
          <w:color w:val="auto"/>
        </w:rPr>
        <w:t>At a meeting of holders of preference shares at which the entire issued capital in shares of that class is represented, valid resolutions may be adopted, provided that they are passed by unanimous vote, even if the requirements in respect of the place of the meeting, the manner of notice, the term of notice and the stating in the notice of the items of business to be transacted, have not been observed.</w:t>
      </w:r>
    </w:p>
    <w:p>
      <w:pPr>
        <w:spacing w:after="0" w:line="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34.5.</w:t>
      </w:r>
      <w:r>
        <w:rPr>
          <w:sz w:val="20"/>
          <w:szCs w:val="20"/>
          <w:color w:val="auto"/>
        </w:rPr>
        <w:tab/>
      </w:r>
      <w:r>
        <w:rPr>
          <w:rFonts w:ascii="Times New Roman" w:cs="Times New Roman" w:eastAsia="Times New Roman" w:hAnsi="Times New Roman"/>
          <w:sz w:val="19"/>
          <w:szCs w:val="19"/>
          <w:color w:val="auto"/>
        </w:rPr>
        <w:t>All resolutions which may be adopted by the holders of preference shares at a meeting may also be adopted outside a meeting.</w:t>
      </w:r>
    </w:p>
    <w:p>
      <w:pPr>
        <w:spacing w:after="0" w:line="148" w:lineRule="exact"/>
        <w:rPr>
          <w:sz w:val="20"/>
          <w:szCs w:val="20"/>
          <w:color w:val="auto"/>
        </w:rPr>
      </w:pPr>
    </w:p>
    <w:p>
      <w:pPr>
        <w:ind w:left="660" w:right="300"/>
        <w:spacing w:after="0" w:line="281" w:lineRule="auto"/>
        <w:rPr>
          <w:sz w:val="20"/>
          <w:szCs w:val="20"/>
          <w:color w:val="auto"/>
        </w:rPr>
      </w:pPr>
      <w:r>
        <w:rPr>
          <w:rFonts w:ascii="Times New Roman" w:cs="Times New Roman" w:eastAsia="Times New Roman" w:hAnsi="Times New Roman"/>
          <w:sz w:val="20"/>
          <w:szCs w:val="20"/>
          <w:color w:val="auto"/>
        </w:rPr>
        <w:t>Resolutions may be adopted outside a meeting only if all holders of preference shares and other persons entitled to vote on preference shares have declared themselves in favor of the proposal by letter or telecopier. The resolution shall be recorded in the minute book of the meeting of holders of preference shares by a managing director.</w:t>
      </w:r>
    </w:p>
    <w:p>
      <w:pPr>
        <w:spacing w:after="0" w:line="2" w:lineRule="exact"/>
        <w:rPr>
          <w:sz w:val="20"/>
          <w:szCs w:val="20"/>
          <w:color w:val="auto"/>
        </w:rPr>
      </w:pPr>
    </w:p>
    <w:p>
      <w:pPr>
        <w:ind w:left="660" w:right="60" w:hanging="647"/>
        <w:spacing w:after="0" w:line="291" w:lineRule="auto"/>
        <w:tabs>
          <w:tab w:leader="none" w:pos="640" w:val="left"/>
        </w:tabs>
        <w:rPr>
          <w:sz w:val="20"/>
          <w:szCs w:val="20"/>
          <w:color w:val="auto"/>
        </w:rPr>
      </w:pPr>
      <w:r>
        <w:rPr>
          <w:rFonts w:ascii="Times New Roman" w:cs="Times New Roman" w:eastAsia="Times New Roman" w:hAnsi="Times New Roman"/>
          <w:sz w:val="20"/>
          <w:szCs w:val="20"/>
          <w:color w:val="auto"/>
        </w:rPr>
        <w:t>34.6.</w:t>
        <w:tab/>
        <w:t>The managing board may, subject to the approval of the supervisory board, resolve that written resolutions as referred to in the preceding paragraph of this article may be adopted via an electronic means of communication. The managing board may, subject to the approval of the supervisory board, attach conditions to the use of the electronic means of communication, which conditions shall be notified in writing to all holders of preference shares and other persons entitled to vote on preference shares.</w:t>
      </w:r>
    </w:p>
    <w:p>
      <w:pPr>
        <w:spacing w:after="0" w:line="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34.7.</w:t>
      </w:r>
      <w:r>
        <w:rPr>
          <w:sz w:val="20"/>
          <w:szCs w:val="20"/>
          <w:color w:val="auto"/>
        </w:rPr>
        <w:tab/>
      </w:r>
      <w:r>
        <w:rPr>
          <w:rFonts w:ascii="Times New Roman" w:cs="Times New Roman" w:eastAsia="Times New Roman" w:hAnsi="Times New Roman"/>
          <w:sz w:val="19"/>
          <w:szCs w:val="19"/>
          <w:color w:val="auto"/>
        </w:rPr>
        <w:t>A meeting of holders of ordinary shares shall be held whenever required by virtue of the provisions of these articles of association.</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Articles 27 up to and including 33 shall apply accordingly to meetings of holders of ordinary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Annual accounts, annual report and distributions.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35.</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35.1.</w:t>
      </w:r>
      <w:r>
        <w:rPr>
          <w:sz w:val="20"/>
          <w:szCs w:val="20"/>
          <w:color w:val="auto"/>
        </w:rPr>
        <w:tab/>
      </w:r>
      <w:r>
        <w:rPr>
          <w:rFonts w:ascii="Times New Roman" w:cs="Times New Roman" w:eastAsia="Times New Roman" w:hAnsi="Times New Roman"/>
          <w:sz w:val="19"/>
          <w:szCs w:val="19"/>
          <w:color w:val="auto"/>
        </w:rPr>
        <w:t>The financial year shall run from the first day of January up to and including the thirty-first day of December.</w:t>
      </w:r>
    </w:p>
    <w:p>
      <w:pPr>
        <w:spacing w:after="0" w:line="146" w:lineRule="exact"/>
        <w:rPr>
          <w:sz w:val="20"/>
          <w:szCs w:val="20"/>
          <w:color w:val="auto"/>
        </w:rPr>
      </w:pPr>
    </w:p>
    <w:p>
      <w:pPr>
        <w:ind w:left="660" w:right="2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35.2.</w:t>
        <w:tab/>
        <w:t>Annually, within four months after the close of each financial year, the managing board shall draw up the annual accounts. Within this period the managing board shall also draw up the annual report.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36.</w:t>
      </w:r>
    </w:p>
    <w:p>
      <w:pPr>
        <w:spacing w:after="0" w:line="32" w:lineRule="exact"/>
        <w:rPr>
          <w:sz w:val="20"/>
          <w:szCs w:val="20"/>
          <w:color w:val="auto"/>
        </w:rPr>
      </w:pPr>
    </w:p>
    <w:p>
      <w:pPr>
        <w:ind w:left="660" w:right="60" w:hanging="647"/>
        <w:spacing w:after="0" w:line="288" w:lineRule="auto"/>
        <w:tabs>
          <w:tab w:leader="none" w:pos="640" w:val="left"/>
        </w:tabs>
        <w:rPr>
          <w:sz w:val="20"/>
          <w:szCs w:val="20"/>
          <w:color w:val="auto"/>
        </w:rPr>
      </w:pPr>
      <w:r>
        <w:rPr>
          <w:rFonts w:ascii="Times New Roman" w:cs="Times New Roman" w:eastAsia="Times New Roman" w:hAnsi="Times New Roman"/>
          <w:sz w:val="20"/>
          <w:szCs w:val="20"/>
          <w:color w:val="auto"/>
        </w:rPr>
        <w:t>36.1.</w:t>
        <w:tab/>
        <w:t>The supervisory board shall cause the annual accounts to be examined by one or more registered accountant(s) designated for the purposes by the general meeting of shareholders or other experts designated for the purpose in accordance with section 393, Book 2, Dutch Civil Code, and shall report to the general meeting of shareholders on the annual accounts, notwithstanding the provisions of the law. The accountant, as referred to in this paragraph, is authorized to attend the general meeting of shareholders in which a resolution about the adoption of the annual accounts shall be adopted and to address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200" w:hanging="647"/>
        <w:spacing w:after="0" w:line="291" w:lineRule="auto"/>
        <w:tabs>
          <w:tab w:leader="none" w:pos="640" w:val="left"/>
        </w:tabs>
        <w:rPr>
          <w:sz w:val="20"/>
          <w:szCs w:val="20"/>
          <w:color w:val="auto"/>
        </w:rPr>
      </w:pPr>
      <w:r>
        <w:rPr>
          <w:rFonts w:ascii="Times New Roman" w:cs="Times New Roman" w:eastAsia="Times New Roman" w:hAnsi="Times New Roman"/>
          <w:sz w:val="20"/>
          <w:szCs w:val="20"/>
          <w:color w:val="auto"/>
        </w:rPr>
        <w:t>36.2.</w:t>
        <w:tab/>
        <w:t>Annually, no later than four months after the close of the financial year the managing board, in accordance with the statutory obligations to which the company is subject, shall make generally available: (i) the annual accounts, (ii) the annual report, (iii) the accountant's statement as referred to in paragraph 1 of this article, as well as (iv) other information which, under or pursuant to the law, must be made generally available together with the annual accounts.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Profit and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37.</w:t>
      </w:r>
    </w:p>
    <w:p>
      <w:pPr>
        <w:spacing w:after="0" w:line="13" w:lineRule="exact"/>
        <w:rPr>
          <w:sz w:val="20"/>
          <w:szCs w:val="20"/>
          <w:color w:val="auto"/>
        </w:rPr>
      </w:pPr>
    </w:p>
    <w:p>
      <w:pPr>
        <w:ind w:left="660" w:right="82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37.1.</w:t>
        <w:tab/>
        <w:t>Distribution of profits pursuant to this article shall be made following approval of the annual accounts which show that the distribution is permitted.</w:t>
      </w:r>
    </w:p>
    <w:p>
      <w:pPr>
        <w:spacing w:after="0" w:line="54" w:lineRule="exact"/>
        <w:rPr>
          <w:sz w:val="20"/>
          <w:szCs w:val="20"/>
          <w:color w:val="auto"/>
        </w:rPr>
      </w:pPr>
    </w:p>
    <w:p>
      <w:pPr>
        <w:ind w:left="660" w:right="380"/>
        <w:spacing w:after="0" w:line="281" w:lineRule="auto"/>
        <w:rPr>
          <w:sz w:val="20"/>
          <w:szCs w:val="20"/>
          <w:color w:val="auto"/>
        </w:rPr>
      </w:pPr>
      <w:r>
        <w:rPr>
          <w:rFonts w:ascii="Times New Roman" w:cs="Times New Roman" w:eastAsia="Times New Roman" w:hAnsi="Times New Roman"/>
          <w:sz w:val="20"/>
          <w:szCs w:val="20"/>
          <w:color w:val="auto"/>
        </w:rPr>
        <w:t>The company may only make distributions to shareholders and other persons entitled to distributable profits to the extent that its equity exceeds the total amount of its issued capital and the reserves which must be maintained by law. A deficit may only be offset against the reserves prescribed by law in so far as permitted by law.</w:t>
      </w:r>
    </w:p>
    <w:p>
      <w:pPr>
        <w:spacing w:after="0" w:line="2" w:lineRule="exact"/>
        <w:rPr>
          <w:sz w:val="20"/>
          <w:szCs w:val="20"/>
          <w:color w:val="auto"/>
        </w:rPr>
      </w:pPr>
    </w:p>
    <w:p>
      <w:pPr>
        <w:ind w:left="660" w:hanging="1295"/>
        <w:spacing w:after="0" w:line="298" w:lineRule="auto"/>
        <w:tabs>
          <w:tab w:leader="none" w:pos="640" w:val="left"/>
        </w:tabs>
        <w:rPr>
          <w:sz w:val="20"/>
          <w:szCs w:val="20"/>
          <w:color w:val="auto"/>
        </w:rPr>
      </w:pPr>
      <w:r>
        <w:rPr>
          <w:rFonts w:ascii="Times New Roman" w:cs="Times New Roman" w:eastAsia="Times New Roman" w:hAnsi="Times New Roman"/>
          <w:sz w:val="20"/>
          <w:szCs w:val="20"/>
          <w:color w:val="auto"/>
        </w:rPr>
        <w:t>37.2.</w:t>
        <w:tab/>
        <w:t>a. From the profits shall first, if possible, be distributed on the preference shares the percentage as specified hereinafter under b below of the compulsory amount paid up or to be paid up on these shares as at the commencement of the financial year for which the distribution is made or - if the shares are issued during that financial year - as at the day on which such shares are issued.</w:t>
      </w:r>
    </w:p>
    <w:p>
      <w:pPr>
        <w:spacing w:after="0" w:line="331" w:lineRule="exact"/>
        <w:rPr>
          <w:sz w:val="20"/>
          <w:szCs w:val="20"/>
          <w:color w:val="auto"/>
        </w:rPr>
      </w:pPr>
    </w:p>
    <w:p>
      <w:pPr>
        <w:ind w:left="1300" w:right="60" w:hanging="644"/>
        <w:spacing w:after="0" w:line="281"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as referred to above under a shall be equal to Euribor (Euro Interbank Offered Rate) for deposit loans with a term of one year, established per the day which is two bank business days prior to the day of the first issue of the preference shares, such at eleven o'clock ante meridiem Central European Time, increased with a rise of maximum one hundred and fifty basis points, determined by the managing board, subject to the approval of the supervisory board.</w:t>
      </w:r>
    </w:p>
    <w:p>
      <w:pPr>
        <w:spacing w:after="0" w:line="2" w:lineRule="exact"/>
        <w:rPr>
          <w:rFonts w:ascii="Times New Roman" w:cs="Times New Roman" w:eastAsia="Times New Roman" w:hAnsi="Times New Roman"/>
          <w:sz w:val="20"/>
          <w:szCs w:val="20"/>
          <w:color w:val="auto"/>
        </w:rPr>
      </w:pPr>
    </w:p>
    <w:p>
      <w:pPr>
        <w:ind w:left="1300" w:right="16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the course of the financial year for which the distribution is made the compulsory amount to be paid on the preference shares has been decreased or, pursuant to a resolution for additional payments, increased, then the distribution shall be decreased or, if possible, increased by an amount equal to the aforementioned percentage of the amount of the decrease or increase as the case may be, calculated from the date of the decrease or from the day when the additional payment became compulsory, as the case may be.</w:t>
      </w:r>
    </w:p>
    <w:p>
      <w:pPr>
        <w:spacing w:after="0" w:line="3" w:lineRule="exact"/>
        <w:rPr>
          <w:rFonts w:ascii="Times New Roman" w:cs="Times New Roman" w:eastAsia="Times New Roman" w:hAnsi="Times New Roman"/>
          <w:sz w:val="20"/>
          <w:szCs w:val="20"/>
          <w:color w:val="auto"/>
        </w:rPr>
      </w:pPr>
    </w:p>
    <w:p>
      <w:pPr>
        <w:ind w:left="1300" w:right="260" w:hanging="644"/>
        <w:spacing w:after="0" w:line="281"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the profits are not sufficient to make the distribution as referred to in this article in full, the deficit shall be distributed from the reserves to the extent by doing so paragraph 1 of this article is not contravened.</w:t>
      </w:r>
    </w:p>
    <w:p>
      <w:pPr>
        <w:spacing w:after="0" w:line="1" w:lineRule="exact"/>
        <w:rPr>
          <w:rFonts w:ascii="Times New Roman" w:cs="Times New Roman" w:eastAsia="Times New Roman" w:hAnsi="Times New Roman"/>
          <w:sz w:val="20"/>
          <w:szCs w:val="20"/>
          <w:color w:val="auto"/>
        </w:rPr>
      </w:pPr>
    </w:p>
    <w:p>
      <w:pPr>
        <w:jc w:val="both"/>
        <w:ind w:left="1300" w:right="58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If and to the extent the distribution as referred to in the first sentence of this paragraph also cannot be made out of the reserves, then out of the profits realized in the following years first such a distribution shall be made to the holders of preference shares to make good for the entire deficit before the provisions of the following paragraphs shall apply.</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further distributions shall be made on the preference shares then as determined in this article and article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00" w:hanging="644"/>
        <w:spacing w:after="0" w:line="281" w:lineRule="auto"/>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profits for a financial year are being determined and if in that financial year one or more preference shares have been cancelled with repayment, the persons who according to the shareholders’ register as referred to in article 8 at the time of such cancellation were recorded as the holders of these preference shares, shall have an inalienable right to a distribution of profit as described hereinafter. The profits which, if sufficient, shall be distributed to such a person shall be equal to the amount of the distribution to which he would be entitled pursuant to the provisions of this paragraph if at the time of the determination of the profits he had still been the holder of the preference shares as referred to above, calculated on a time-proportionate basis for the period during which he held preference shares in that financial year, which distribution shall be decreased with the amount of the distribution which is made on the preference shares in accordance with article 39 paragraph 1.</w:t>
      </w:r>
    </w:p>
    <w:p>
      <w:pPr>
        <w:spacing w:after="0" w:line="6" w:lineRule="exact"/>
        <w:rPr>
          <w:rFonts w:ascii="Times New Roman" w:cs="Times New Roman" w:eastAsia="Times New Roman" w:hAnsi="Times New Roman"/>
          <w:sz w:val="20"/>
          <w:szCs w:val="20"/>
          <w:color w:val="auto"/>
        </w:rPr>
      </w:pPr>
    </w:p>
    <w:p>
      <w:pPr>
        <w:ind w:left="1300" w:right="100" w:hanging="644"/>
        <w:spacing w:after="0" w:line="296" w:lineRule="auto"/>
        <w:tabs>
          <w:tab w:leader="none" w:pos="13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in the course of any financial year preference shares have been issued, the dividend on preference shares for that financial year shall be decreased time-proportionately calculated over the period that the relevant preference shares were not issued.</w:t>
      </w:r>
    </w:p>
    <w:p>
      <w:pPr>
        <w:spacing w:after="0" w:line="1" w:lineRule="exact"/>
        <w:rPr>
          <w:sz w:val="20"/>
          <w:szCs w:val="20"/>
          <w:color w:val="auto"/>
        </w:rPr>
      </w:pPr>
    </w:p>
    <w:p>
      <w:pPr>
        <w:ind w:left="660" w:right="1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37.3.</w:t>
        <w:tab/>
        <w:t>Upon proposal of the managing board, the supervisory board shall determine what portion of the remaining profits shall be retained by way of reserve.</w:t>
      </w:r>
    </w:p>
    <w:p>
      <w:pPr>
        <w:spacing w:after="0" w:line="52" w:lineRule="exact"/>
        <w:rPr>
          <w:sz w:val="20"/>
          <w:szCs w:val="20"/>
          <w:color w:val="auto"/>
        </w:rPr>
      </w:pPr>
    </w:p>
    <w:p>
      <w:pPr>
        <w:ind w:left="660" w:right="6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37.4.</w:t>
        <w:tab/>
        <w:t>The portion of the profits that remains after application of paragraph 2 and paragraph 3, shall be at the disposal of the general meeting of shareholders, with due observance of the provisions of article 38, paragraph 2.</w:t>
      </w:r>
    </w:p>
    <w:p>
      <w:pPr>
        <w:spacing w:after="0" w:line="52" w:lineRule="exact"/>
        <w:rPr>
          <w:sz w:val="20"/>
          <w:szCs w:val="20"/>
          <w:color w:val="auto"/>
        </w:rPr>
      </w:pPr>
    </w:p>
    <w:p>
      <w:pPr>
        <w:ind w:left="660" w:right="10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37.5.</w:t>
        <w:tab/>
        <w:t>The general meeting of shareholders is empowered either to distribute the profits in cash or in kind or to withhold distribution of the said portion of the profit in whole or in part.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38.</w:t>
      </w:r>
    </w:p>
    <w:p>
      <w:pPr>
        <w:spacing w:after="0" w:line="32" w:lineRule="exact"/>
        <w:rPr>
          <w:sz w:val="20"/>
          <w:szCs w:val="20"/>
          <w:color w:val="auto"/>
        </w:rPr>
      </w:pPr>
    </w:p>
    <w:p>
      <w:pPr>
        <w:ind w:left="660" w:hanging="647"/>
        <w:spacing w:after="0" w:line="288" w:lineRule="auto"/>
        <w:tabs>
          <w:tab w:leader="none" w:pos="640" w:val="left"/>
        </w:tabs>
        <w:rPr>
          <w:sz w:val="20"/>
          <w:szCs w:val="20"/>
          <w:color w:val="auto"/>
        </w:rPr>
      </w:pPr>
      <w:r>
        <w:rPr>
          <w:rFonts w:ascii="Times New Roman" w:cs="Times New Roman" w:eastAsia="Times New Roman" w:hAnsi="Times New Roman"/>
          <w:sz w:val="20"/>
          <w:szCs w:val="20"/>
          <w:color w:val="auto"/>
        </w:rPr>
        <w:t>38.1.</w:t>
        <w:tab/>
        <w:t>The supervisory board independently and the general meeting of shareholders upon the proposal of the supervisory board shall each be entitled to resolve to make distributions charged to the share premium reserve or charged to the other reserves shown in the annual accounts not prescribed by the law, with due observance of the provisions of paragraph 2 of this article and section 105, paragraph 4, Book 2, Dutch Civil Code, provided that the balance of the relevant reserve is not required to make the distribution as referred to in article 37, paragraph 2, sub c, first sentence in conjunction with article 37, paragraph 2, sub a.</w:t>
      </w:r>
    </w:p>
    <w:p>
      <w:pPr>
        <w:spacing w:after="0" w:line="76" w:lineRule="exact"/>
        <w:rPr>
          <w:sz w:val="20"/>
          <w:szCs w:val="20"/>
          <w:color w:val="auto"/>
        </w:rPr>
      </w:pPr>
    </w:p>
    <w:p>
      <w:pPr>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auto"/>
        </w:rPr>
        <w:t>38.2.</w:t>
        <w:tab/>
        <w:t>The supervisory board shall be entitled to resolve that distributions, the amount of which distributions has been resolved upon by the general meeting of shareholders, to holders of shares under article 37, article 38, paragraph 1 and article 39, paragraph 1 may be made in full or partially in the form of the issue of shares in the share capital of the company. The distribution to a shareholder according to the preceding sentence shall be made to a shareholder in cash or in the form of ordinary shares in the share capital of the company, or partially in cash and partially in the form of shares in the share capital of the company, such, if the supervisory board so resolves, at the option of the relevant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70" w:name="page71"/>
    <w:bookmarkEnd w:id="70"/>
    <w:p>
      <w:pPr>
        <w:jc w:val="center"/>
        <w:ind w:right="-1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39.</w:t>
      </w:r>
    </w:p>
    <w:p>
      <w:pPr>
        <w:spacing w:after="0" w:line="32" w:lineRule="exact"/>
        <w:rPr>
          <w:sz w:val="20"/>
          <w:szCs w:val="20"/>
          <w:color w:val="auto"/>
        </w:rPr>
      </w:pPr>
    </w:p>
    <w:p>
      <w:pPr>
        <w:ind w:left="660" w:right="22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39.1.</w:t>
        <w:tab/>
        <w:t>At its own discretion and subject to section 105, paragraph 4, Book 2, Dutch Civil Code, the supervisory board may resolve to distribute one or more interim distributions on the shares before the annual accounts for any financial year have been adopted at a general meeting of shareholders.</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Interim distributions may also be made on either preference shares or ordinary shares.</w:t>
      </w:r>
    </w:p>
    <w:p>
      <w:pPr>
        <w:spacing w:after="0" w:line="40" w:lineRule="exact"/>
        <w:rPr>
          <w:sz w:val="20"/>
          <w:szCs w:val="20"/>
          <w:color w:val="auto"/>
        </w:rPr>
      </w:pPr>
    </w:p>
    <w:p>
      <w:pPr>
        <w:ind w:left="66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39.2.</w:t>
        <w:tab/>
        <w:t>In case of a cancellation of preference shares with repayment a distribution on the cancelled shares shall be made on the day of repayment, which distribution shall be calculated in accordance with the provisions of article 37 and over the period up to the day of repayment, such in accordance with section 105, paragraph 4, Book 2, Dutch Civil Code.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40.</w:t>
      </w:r>
    </w:p>
    <w:p>
      <w:pPr>
        <w:spacing w:after="0" w:line="32" w:lineRule="exact"/>
        <w:rPr>
          <w:sz w:val="20"/>
          <w:szCs w:val="20"/>
          <w:color w:val="auto"/>
        </w:rPr>
      </w:pPr>
    </w:p>
    <w:p>
      <w:pPr>
        <w:jc w:val="both"/>
        <w:ind w:left="660" w:right="44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40.1.</w:t>
        <w:tab/>
        <w:t>Distributions under articles 37, 38 or 39 shall be payable as from a date to be determined by the supervisory board. The date of payment set in respect of shares for which certificates are outstanding or in respect of type I shares may differ from the date of payment set in respect of shares for which type II share certificates are outstanding.</w:t>
      </w:r>
    </w:p>
    <w:p>
      <w:pPr>
        <w:spacing w:after="0" w:line="68" w:lineRule="exact"/>
        <w:rPr>
          <w:sz w:val="20"/>
          <w:szCs w:val="20"/>
          <w:color w:val="auto"/>
        </w:rPr>
      </w:pPr>
    </w:p>
    <w:p>
      <w:pPr>
        <w:ind w:left="660" w:right="28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40.2.</w:t>
        <w:tab/>
        <w:t>Distributions under articles 37, 38 or 39 shall be made payable at a place or places, to be determined by the supervisory board; at least one place shall be designated thereto in the Netherlands.</w:t>
      </w:r>
    </w:p>
    <w:p>
      <w:pPr>
        <w:spacing w:after="0" w:line="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40.3.</w:t>
      </w:r>
      <w:r>
        <w:rPr>
          <w:sz w:val="20"/>
          <w:szCs w:val="20"/>
          <w:color w:val="auto"/>
        </w:rPr>
        <w:tab/>
      </w:r>
      <w:r>
        <w:rPr>
          <w:rFonts w:ascii="Times New Roman" w:cs="Times New Roman" w:eastAsia="Times New Roman" w:hAnsi="Times New Roman"/>
          <w:sz w:val="19"/>
          <w:szCs w:val="19"/>
          <w:color w:val="auto"/>
        </w:rPr>
        <w:t>The supervisory board may determine the method of payment in respect of cash distributions on type I shares.</w:t>
      </w:r>
    </w:p>
    <w:p>
      <w:pPr>
        <w:spacing w:after="0" w:line="148" w:lineRule="exact"/>
        <w:rPr>
          <w:sz w:val="20"/>
          <w:szCs w:val="20"/>
          <w:color w:val="auto"/>
        </w:rPr>
      </w:pPr>
    </w:p>
    <w:p>
      <w:pPr>
        <w:ind w:left="660" w:right="20" w:hanging="647"/>
        <w:spacing w:after="0" w:line="285" w:lineRule="auto"/>
        <w:tabs>
          <w:tab w:leader="none" w:pos="640" w:val="left"/>
        </w:tabs>
        <w:rPr>
          <w:sz w:val="20"/>
          <w:szCs w:val="20"/>
          <w:color w:val="auto"/>
        </w:rPr>
      </w:pPr>
      <w:r>
        <w:rPr>
          <w:rFonts w:ascii="Times New Roman" w:cs="Times New Roman" w:eastAsia="Times New Roman" w:hAnsi="Times New Roman"/>
          <w:sz w:val="20"/>
          <w:szCs w:val="20"/>
          <w:color w:val="auto"/>
        </w:rPr>
        <w:t>40.4.</w:t>
        <w:tab/>
        <w:t>Cash distributions under articles 37, 38 or 39 in respect of shares for which a type II share certificate is outstanding shall, if such distributions are made payable only outside the Netherlands, be paid in the currency of a country where the shares of the company are listed on a stock exchange not being the Euro, converted at the rate of exchange determined by the European Central Bank at the close of business on a day to be fixed for that purpose by the supervisory board. If and in so far as on the first day on which a distribution is payable, the company is unable, in consequence of any governmental action or other exceptional circumstances beyond its control, to make payment at the place designated outside the Netherlands or in the relevant currency, the supervisory board may in that event designate one or more places in the Netherlands instead. In such event the provisions of the first sentence of this paragraph shall no longer apply.</w:t>
      </w:r>
    </w:p>
    <w:p>
      <w:pPr>
        <w:spacing w:after="0" w:line="83" w:lineRule="exact"/>
        <w:rPr>
          <w:sz w:val="20"/>
          <w:szCs w:val="20"/>
          <w:color w:val="auto"/>
        </w:rPr>
      </w:pPr>
    </w:p>
    <w:p>
      <w:pPr>
        <w:jc w:val="both"/>
        <w:ind w:left="660" w:right="20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40.5.</w:t>
        <w:tab/>
        <w:t>The person entitled to a distribution under articles 37, 38 or 39 on registered shares shall be the person in whose name the share is registered at the date to be fixed for that purpose by the supervisory board in respect of each distribution for the different types of shares.</w:t>
      </w:r>
    </w:p>
    <w:p>
      <w:pPr>
        <w:spacing w:after="0" w:line="67" w:lineRule="exact"/>
        <w:rPr>
          <w:sz w:val="20"/>
          <w:szCs w:val="20"/>
          <w:color w:val="auto"/>
        </w:rPr>
      </w:pPr>
    </w:p>
    <w:p>
      <w:pPr>
        <w:ind w:left="660" w:right="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40.6.</w:t>
        <w:tab/>
        <w:t>The provisions of article 27 paragraph 2 shall apply accordingly to the notice of distributions and of the dates and places as referred to in the preceding paragraphs of this article.</w:t>
      </w:r>
    </w:p>
    <w:p>
      <w:pPr>
        <w:spacing w:after="0" w:line="52" w:lineRule="exact"/>
        <w:rPr>
          <w:sz w:val="20"/>
          <w:szCs w:val="20"/>
          <w:color w:val="auto"/>
        </w:rPr>
      </w:pPr>
    </w:p>
    <w:p>
      <w:pPr>
        <w:ind w:left="660" w:right="5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40.7.</w:t>
        <w:tab/>
        <w:t>Distributions in cash under articles 37, 38 or 39 that have not been collected within five years after they have become due and payable shall revert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auto"/>
        </w:rPr>
        <w:t>40.8.</w:t>
        <w:tab/>
        <w:t>In the case of a distribution under article 38, paragraph 2, any shares in the company not claimed within a period to be determined by the supervisory board shall be sold for the account of the persons entitled to the distribution who failed to claim the shares. The period and manner of sale to be determined by the supervisory board, as mentioned in the preceding sentence, shall be notified according to paragraph 6. The net proceeds of such sale shall thereafter be held at the disposal of the above persons in proportion to their entitlement; distributions that have not been collected within five years after the initial distributions in shares have become due and payable shall revert to the company.</w:t>
      </w:r>
    </w:p>
    <w:p>
      <w:pPr>
        <w:spacing w:after="0" w:line="78" w:lineRule="exact"/>
        <w:rPr>
          <w:sz w:val="20"/>
          <w:szCs w:val="20"/>
          <w:color w:val="auto"/>
        </w:rPr>
      </w:pPr>
    </w:p>
    <w:p>
      <w:pPr>
        <w:ind w:left="660" w:right="360" w:hanging="647"/>
        <w:spacing w:after="0" w:line="296" w:lineRule="auto"/>
        <w:tabs>
          <w:tab w:leader="none" w:pos="640" w:val="left"/>
        </w:tabs>
        <w:rPr>
          <w:sz w:val="20"/>
          <w:szCs w:val="20"/>
          <w:color w:val="auto"/>
        </w:rPr>
      </w:pPr>
      <w:r>
        <w:rPr>
          <w:rFonts w:ascii="Times New Roman" w:cs="Times New Roman" w:eastAsia="Times New Roman" w:hAnsi="Times New Roman"/>
          <w:sz w:val="20"/>
          <w:szCs w:val="20"/>
          <w:color w:val="auto"/>
        </w:rPr>
        <w:t>40.9.</w:t>
        <w:tab/>
        <w:t>In the case of a distribution in the form of shares in the company under article 38, paragraph 2, on registered shares, those shares shall be added to the share register. A type II share certificate for a nominal amount equal to the number of shares added to the register shall be issued to holders of type II shares.</w:t>
      </w:r>
    </w:p>
    <w:p>
      <w:pPr>
        <w:spacing w:after="0" w:line="67" w:lineRule="exact"/>
        <w:rPr>
          <w:sz w:val="20"/>
          <w:szCs w:val="20"/>
          <w:color w:val="auto"/>
        </w:rPr>
      </w:pPr>
    </w:p>
    <w:p>
      <w:pPr>
        <w:ind w:left="660" w:right="6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40.10.</w:t>
        <w:tab/>
        <w:t>The provisions of paragraphs 5 and 6 shall apply equally in respect of distributions - including pre-emptive subscription rights in the event of a share issue - made otherwise than under articles 37, 38 or 39.</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Amendments to the articles of association, winding up,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41.</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A resolution to alter the articles of association or to wind up the company shall be valid only provided that:</w:t>
      </w:r>
    </w:p>
    <w:p>
      <w:pPr>
        <w:spacing w:after="0" w:line="146"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proposal to such a resolution has been proposed to the general meeting of shareholders by the supervisory board;</w:t>
      </w:r>
    </w:p>
    <w:p>
      <w:pPr>
        <w:spacing w:after="0" w:line="40" w:lineRule="exact"/>
        <w:rPr>
          <w:rFonts w:ascii="Times New Roman" w:cs="Times New Roman" w:eastAsia="Times New Roman" w:hAnsi="Times New Roman"/>
          <w:sz w:val="20"/>
          <w:szCs w:val="20"/>
          <w:color w:val="auto"/>
        </w:rPr>
      </w:pPr>
    </w:p>
    <w:p>
      <w:pPr>
        <w:ind w:left="1300" w:right="500" w:hanging="644"/>
        <w:spacing w:after="0" w:line="296" w:lineRule="auto"/>
        <w:tabs>
          <w:tab w:leader="none" w:pos="13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full proposals have been deposited for inspection by shareholders and other persons entitled to attend meetings of shareholders, at the office of the company as from the day on which the notice is served until the close of that meeting.</w:t>
      </w:r>
    </w:p>
    <w:p>
      <w:pPr>
        <w:spacing w:after="0" w:line="1" w:lineRule="exact"/>
        <w:rPr>
          <w:sz w:val="20"/>
          <w:szCs w:val="20"/>
          <w:color w:val="auto"/>
        </w:rPr>
      </w:pPr>
    </w:p>
    <w:p>
      <w:pPr>
        <w:ind w:left="660" w:right="34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41.2.</w:t>
        <w:tab/>
        <w:t>A resolution to amend the articles of association by which the rights conferred on holders of shares of a specific class as such are changed shall require the approval of the relevant class meeting.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42.</w:t>
      </w:r>
    </w:p>
    <w:p>
      <w:pPr>
        <w:spacing w:after="0" w:line="32" w:lineRule="exact"/>
        <w:rPr>
          <w:sz w:val="20"/>
          <w:szCs w:val="20"/>
          <w:color w:val="auto"/>
        </w:rPr>
      </w:pPr>
    </w:p>
    <w:p>
      <w:pPr>
        <w:ind w:left="660" w:right="100" w:hanging="647"/>
        <w:spacing w:after="0" w:line="309" w:lineRule="auto"/>
        <w:tabs>
          <w:tab w:leader="none" w:pos="640" w:val="left"/>
        </w:tabs>
        <w:rPr>
          <w:sz w:val="20"/>
          <w:szCs w:val="20"/>
          <w:color w:val="auto"/>
        </w:rPr>
      </w:pPr>
      <w:r>
        <w:rPr>
          <w:rFonts w:ascii="Times New Roman" w:cs="Times New Roman" w:eastAsia="Times New Roman" w:hAnsi="Times New Roman"/>
          <w:sz w:val="20"/>
          <w:szCs w:val="20"/>
          <w:color w:val="auto"/>
        </w:rPr>
        <w:t>42.1.</w:t>
        <w:tab/>
        <w:t>If the company is wound up, the liquidation shall be carried out by any person designated for that purpose by the general meeting of shareholders, under the supervision of the supervisory board.</w:t>
      </w:r>
    </w:p>
    <w:p>
      <w:pPr>
        <w:spacing w:after="0" w:line="54" w:lineRule="exact"/>
        <w:rPr>
          <w:sz w:val="20"/>
          <w:szCs w:val="20"/>
          <w:color w:val="auto"/>
        </w:rPr>
      </w:pPr>
    </w:p>
    <w:p>
      <w:pPr>
        <w:ind w:left="660" w:right="2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42.2.</w:t>
        <w:tab/>
        <w:t>In passing a resolution to wind up the company, the general meeting of shareholders shall upon the proposal of the supervisory board fix the remuneration payable to the liquidators and to those responsible for supervising the liquidation.</w:t>
      </w:r>
    </w:p>
    <w:p>
      <w:pPr>
        <w:spacing w:after="0" w:line="52" w:lineRule="exact"/>
        <w:rPr>
          <w:sz w:val="20"/>
          <w:szCs w:val="20"/>
          <w:color w:val="auto"/>
        </w:rPr>
      </w:pPr>
    </w:p>
    <w:p>
      <w:pPr>
        <w:ind w:left="660" w:right="48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42.3.</w:t>
        <w:tab/>
        <w:t>The liquidation shall take place with due observance of the provisions of the law. During the liquidation period these articles of association shall, to the extent possible, remain in full force and effect.</w:t>
      </w:r>
    </w:p>
    <w:p>
      <w:pPr>
        <w:spacing w:after="0" w:line="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color w:val="auto"/>
        </w:rPr>
        <w:t>After settling the liquidation, the liquidators shall render account in accordance with the provisions of the law.</w:t>
      </w:r>
    </w:p>
    <w:p>
      <w:pPr>
        <w:spacing w:after="0" w:line="148" w:lineRule="exact"/>
        <w:rPr>
          <w:sz w:val="20"/>
          <w:szCs w:val="20"/>
          <w:color w:val="auto"/>
        </w:rPr>
      </w:pPr>
    </w:p>
    <w:p>
      <w:pPr>
        <w:ind w:left="660" w:right="200" w:hanging="647"/>
        <w:spacing w:after="0" w:line="311" w:lineRule="auto"/>
        <w:tabs>
          <w:tab w:leader="none" w:pos="640" w:val="left"/>
        </w:tabs>
        <w:rPr>
          <w:sz w:val="20"/>
          <w:szCs w:val="20"/>
          <w:color w:val="auto"/>
        </w:rPr>
      </w:pPr>
      <w:r>
        <w:rPr>
          <w:rFonts w:ascii="Times New Roman" w:cs="Times New Roman" w:eastAsia="Times New Roman" w:hAnsi="Times New Roman"/>
          <w:sz w:val="20"/>
          <w:szCs w:val="20"/>
          <w:color w:val="auto"/>
        </w:rPr>
        <w:t>42.5.</w:t>
        <w:tab/>
        <w:t>After the liquidation has ended, the books and records of the company shall remain in the custody of the person designated for that purpose by the liquidators during a seven-year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43.</w:t>
      </w:r>
    </w:p>
    <w:p>
      <w:pPr>
        <w:spacing w:after="0" w:line="3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From what is left of the company's assets after all debts have been settled, including any debts incurred in connection with the liquidation, first, if possible, all holders of preference shares shall have returned to them the paid up part of the nominal amount of their preference shares, increased with the missing dividend on the relevant preference shares at the time of liquidation calculated over the period up to and including the day on which the balance is made payable.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residue shall be divided amongst the holders of ordinary shares pro rata to the par value of their respective holdings of ordinary shares.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Article 44.</w:t>
      </w:r>
    </w:p>
    <w:p>
      <w:pPr>
        <w:spacing w:after="0" w:line="1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Any amounts payable to shareholders or due to creditors which have not been claimed within six months after the last distribution was made payable, shall be deposited with the Public Administrator of Unclaimed Debts (</w:t>
      </w:r>
      <w:r>
        <w:rPr>
          <w:rFonts w:ascii="Times New Roman" w:cs="Times New Roman" w:eastAsia="Times New Roman" w:hAnsi="Times New Roman"/>
          <w:sz w:val="20"/>
          <w:szCs w:val="20"/>
          <w:i w:val="1"/>
          <w:iCs w:val="1"/>
          <w:color w:val="auto"/>
        </w:rPr>
        <w:t>consignatiekas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FINAL STATEMENTS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Finally, the person appearing declared, as evidenced by the explanatory notes to the agenda relating to the general meeting of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held on the date hereof, to have been authorised to execute this Deed.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person appearing is known to me, civil law notary.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deed was executed in Amsterdam on the date mentioned in its heading.</w:t>
      </w:r>
    </w:p>
    <w:p>
      <w:pPr>
        <w:spacing w:after="0" w:line="4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After I, civil law notary, had conveyed and explained the contents of the deed in substance to the person appearing, the person appearing declared to have taken note of the contents of the deed, to be in agreement with these contents and not to wish the deed to be read out in full. Following a partial reading, the deed was signed by the person appearing and by me, civil law notary. (signatures follow)</w:t>
      </w:r>
    </w:p>
    <w:p>
      <w:pPr>
        <w:spacing w:after="0" w:line="200" w:lineRule="exact"/>
        <w:rPr>
          <w:sz w:val="20"/>
          <w:szCs w:val="20"/>
          <w:color w:val="auto"/>
        </w:rPr>
      </w:pPr>
    </w:p>
    <w:p>
      <w:pPr>
        <w:spacing w:after="0" w:line="28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ISSUED FOR TRUE COPY</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(Signed: P.C.S. van der Bijl)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-86360</wp:posOffset>
            </wp:positionV>
            <wp:extent cx="113982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306"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20"/>
          <w:szCs w:val="20"/>
          <w:color w:val="auto"/>
        </w:rPr>
        <w:t>Beethovenstraat 400</w:t>
      </w:r>
      <w:r>
        <w:rPr>
          <w:sz w:val="20"/>
          <w:szCs w:val="20"/>
          <w:color w:val="auto"/>
        </w:rPr>
        <w:tab/>
      </w:r>
      <w:r>
        <w:rPr>
          <w:rFonts w:ascii="Times New Roman" w:cs="Times New Roman" w:eastAsia="Times New Roman" w:hAnsi="Times New Roman"/>
          <w:sz w:val="19"/>
          <w:szCs w:val="19"/>
          <w:color w:val="auto"/>
        </w:rPr>
        <w:t>Amsterdam, 25 March 2026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1082 PR Amsterdam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 +31 20 71 71 000</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STMicroelectronics N.V.</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Dutch Company:</w:t>
      </w:r>
    </w:p>
    <w:p>
      <w:pPr>
        <w:spacing w:after="0" w:line="22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We have acted as legal counsel as to Dutch law to the Dutch Company in connection with the filing of the Registration Statement with the SEC. This opinion letter is rendered to you in order to be filed with the SEC as an exhibit to the Registration Statement.</w:t>
      </w:r>
    </w:p>
    <w:p>
      <w:pPr>
        <w:spacing w:after="0" w:line="11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Capitalised terms used in this opinion letter have the meanings set forth in Exhibit A. The headings used in this opinion letter are for convenience of reference only and are not to affect its construction or to be taken into consideration in its interpretation.</w:t>
      </w:r>
    </w:p>
    <w:p>
      <w:pPr>
        <w:spacing w:after="0" w:line="1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22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9"/>
          <w:szCs w:val="19"/>
          <w:color w:val="auto"/>
        </w:rPr>
        <w:t>In rendering the opinions expressed in this opinion letter, we have reviewed and relied upon the Warrant Agreement, a draft of the Registration Statement and pdf copies or drafts, as the case may be, of the Corporate Documents and we have assumed that the Warrant Agreement has been entered into for bona fide commercial reasons. We have not investigated or verified any factual matter disclosed to us in the course of our review.</w:t>
      </w:r>
    </w:p>
    <w:p>
      <w:pPr>
        <w:spacing w:after="0" w:line="185"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0"/>
          <w:szCs w:val="20"/>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tax law, regulatory law, Dutch or European competition law, data protection law or securitization law. No undertaking is assumed on our part to revise, update or amend this opinion letter in connection with or to notify or inform you of, any developments and/or changes of Dutch law subsequent to today's date. We do not purport to opine on the consequences of amendments to the Warrant Agreement, the Registration Statement or the Corporate Documents subsequent to the date of this opinion letter.</w:t>
      </w:r>
    </w:p>
    <w:p>
      <w:pPr>
        <w:spacing w:after="0" w:line="200" w:lineRule="exact"/>
        <w:rPr>
          <w:sz w:val="20"/>
          <w:szCs w:val="20"/>
          <w:color w:val="auto"/>
        </w:rPr>
      </w:pPr>
    </w:p>
    <w:p>
      <w:pPr>
        <w:spacing w:after="0" w:line="2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 xml:space="preserve">All legal relationships are subject to NautaDutilh N.V.'s general terms and conditions (see </w:t>
      </w:r>
      <w:r>
        <w:rPr>
          <w:rFonts w:ascii="Times New Roman" w:cs="Times New Roman" w:eastAsia="Times New Roman" w:hAnsi="Times New Roman"/>
          <w:sz w:val="16"/>
          <w:szCs w:val="16"/>
          <w:u w:val="single" w:color="auto"/>
          <w:color w:val="0000FF"/>
        </w:rPr>
        <w:t>https://www.nautadutilh.com/terms</w:t>
      </w:r>
      <w:r>
        <w:rPr>
          <w:rFonts w:ascii="Times New Roman" w:cs="Times New Roman" w:eastAsia="Times New Roman" w:hAnsi="Times New Roman"/>
          <w:sz w:val="16"/>
          <w:szCs w:val="16"/>
          <w:color w:val="auto"/>
        </w:rPr>
        <w:t>),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146" w:lineRule="exact"/>
        <w:rPr>
          <w:sz w:val="20"/>
          <w:szCs w:val="20"/>
          <w:color w:val="auto"/>
        </w:rPr>
      </w:pPr>
    </w:p>
    <w:p>
      <w:pPr>
        <w:jc w:val="center"/>
        <w:ind w:right="-19"/>
        <w:spacing w:after="0"/>
        <w:tabs>
          <w:tab w:leader="none" w:pos="120" w:val="left"/>
          <w:tab w:leader="none" w:pos="100" w:val="left"/>
          <w:tab w:leader="none" w:pos="120" w:val="left"/>
          <w:tab w:leader="none" w:pos="120" w:val="left"/>
          <w:tab w:leader="none" w:pos="100" w:val="left"/>
          <w:tab w:leader="none" w:pos="120" w:val="left"/>
          <w:tab w:leader="none" w:pos="100" w:val="left"/>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Amsterdam</w:t>
        <w:tab/>
        <w:t>•</w:t>
        <w:tab/>
        <w:t>Brussels</w:t>
        <w:tab/>
        <w:t>•</w:t>
        <w:tab/>
        <w:t>London</w:t>
        <w:tab/>
        <w:t>•</w:t>
        <w:tab/>
        <w:t>Luxembourg</w:t>
        <w:tab/>
        <w:t>•</w:t>
        <w:tab/>
        <w:t>New York</w:t>
        <w:tab/>
        <w:t>•</w:t>
        <w:tab/>
        <w:t>Rotterdam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79375</wp:posOffset>
            </wp:positionV>
            <wp:extent cx="113982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agreement as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purposes of this opinion letter, we have assumed that:</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i w:val="1"/>
          <w:iCs w:val="1"/>
          <w:color w:val="auto"/>
        </w:rPr>
        <w:t>General Assumptions</w:t>
      </w:r>
    </w:p>
    <w:p>
      <w:pPr>
        <w:spacing w:after="0" w:line="233" w:lineRule="exact"/>
        <w:rPr>
          <w:sz w:val="20"/>
          <w:szCs w:val="20"/>
          <w:color w:val="auto"/>
        </w:rPr>
      </w:pPr>
    </w:p>
    <w:p>
      <w:pPr>
        <w:ind w:left="640" w:hanging="632"/>
        <w:spacing w:after="0" w:line="339" w:lineRule="auto"/>
        <w:tabs>
          <w:tab w:leader="none" w:pos="81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92" w:lineRule="exact"/>
        <w:rPr>
          <w:rFonts w:ascii="Times New Roman" w:cs="Times New Roman" w:eastAsia="Times New Roman" w:hAnsi="Times New Roman"/>
          <w:sz w:val="20"/>
          <w:szCs w:val="20"/>
          <w:color w:val="auto"/>
        </w:rPr>
      </w:pPr>
    </w:p>
    <w:p>
      <w:pPr>
        <w:jc w:val="both"/>
        <w:ind w:left="640" w:hanging="632"/>
        <w:spacing w:after="0" w:line="296" w:lineRule="auto"/>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Deed of Incorporation and the Deed of Conversion are valid notarial deeds and the Deed of Incorporation has been executed on the basis of a valid declaration of no objection (</w:t>
      </w:r>
      <w:r>
        <w:rPr>
          <w:rFonts w:ascii="Times New Roman" w:cs="Times New Roman" w:eastAsia="Times New Roman" w:hAnsi="Times New Roman"/>
          <w:sz w:val="20"/>
          <w:szCs w:val="20"/>
          <w:i w:val="1"/>
          <w:iCs w:val="1"/>
          <w:color w:val="auto"/>
        </w:rPr>
        <w:t>verklaring van geen bezwaar</w:t>
      </w:r>
      <w:r>
        <w:rPr>
          <w:rFonts w:ascii="Times New Roman" w:cs="Times New Roman" w:eastAsia="Times New Roman" w:hAnsi="Times New Roman"/>
          <w:sz w:val="20"/>
          <w:szCs w:val="20"/>
          <w:color w:val="auto"/>
        </w:rPr>
        <w:t>) and a valid bank statement within the meaning of Article 2:203a DCC (as it applied on the date of the Deed of Incorporation);</w:t>
      </w:r>
    </w:p>
    <w:p>
      <w:pPr>
        <w:spacing w:after="0" w:line="134" w:lineRule="exact"/>
        <w:rPr>
          <w:rFonts w:ascii="Times New Roman" w:cs="Times New Roman" w:eastAsia="Times New Roman" w:hAnsi="Times New Roman"/>
          <w:sz w:val="20"/>
          <w:szCs w:val="20"/>
          <w:color w:val="auto"/>
        </w:rPr>
      </w:pPr>
    </w:p>
    <w:p>
      <w:pPr>
        <w:ind w:left="640" w:hanging="632"/>
        <w:spacing w:after="0" w:line="311" w:lineRule="auto"/>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signature under any document is an electronic signature (as opposed to a handwritten ("wet ink") signature) only, the method used for signing is sufficiently reliable;</w:t>
      </w:r>
    </w:p>
    <w:p>
      <w:pPr>
        <w:spacing w:after="0" w:line="13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has been or will be declared effective upon filing with the SEC in the form reviewed by us;</w:t>
      </w:r>
    </w:p>
    <w:p>
      <w:pPr>
        <w:spacing w:after="0" w:line="211"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Corporate Law Assumptions</w:t>
      </w:r>
    </w:p>
    <w:p>
      <w:pPr>
        <w:spacing w:after="0" w:line="219" w:lineRule="exact"/>
        <w:rPr>
          <w:rFonts w:ascii="Times New Roman" w:cs="Times New Roman" w:eastAsia="Times New Roman" w:hAnsi="Times New Roman"/>
          <w:sz w:val="20"/>
          <w:szCs w:val="20"/>
          <w:color w:val="auto"/>
        </w:rPr>
      </w:pPr>
    </w:p>
    <w:p>
      <w:pPr>
        <w:jc w:val="both"/>
        <w:ind w:left="640" w:hanging="632"/>
        <w:spacing w:after="0" w:line="307" w:lineRule="auto"/>
        <w:tabs>
          <w:tab w:leader="none" w:pos="64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each Relevant Moment, (i) Ordinary Shares shall have been admitted for trading on a trading system outside the European Economic Area comparable to a regulated market or a multilateral trading facility as referred to in Article 2:86c(1) DCC and (ii) no financial instruments issued by the Dutch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37" w:lineRule="exact"/>
        <w:rPr>
          <w:rFonts w:ascii="Times New Roman" w:cs="Times New Roman" w:eastAsia="Times New Roman" w:hAnsi="Times New Roman"/>
          <w:sz w:val="19"/>
          <w:szCs w:val="19"/>
          <w:color w:val="auto"/>
        </w:rPr>
      </w:pPr>
    </w:p>
    <w:p>
      <w:pPr>
        <w:jc w:val="both"/>
        <w:ind w:left="640" w:hanging="632"/>
        <w:spacing w:after="0" w:line="290" w:lineRule="auto"/>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regulations (</w:t>
      </w:r>
      <w:r>
        <w:rPr>
          <w:rFonts w:ascii="Times New Roman" w:cs="Times New Roman" w:eastAsia="Times New Roman" w:hAnsi="Times New Roman"/>
          <w:sz w:val="20"/>
          <w:szCs w:val="20"/>
          <w:i w:val="1"/>
          <w:iCs w:val="1"/>
          <w:color w:val="auto"/>
        </w:rPr>
        <w:t>reglementen</w:t>
      </w:r>
      <w:r>
        <w:rPr>
          <w:rFonts w:ascii="Times New Roman" w:cs="Times New Roman" w:eastAsia="Times New Roman" w:hAnsi="Times New Roman"/>
          <w:sz w:val="20"/>
          <w:szCs w:val="20"/>
          <w:color w:val="auto"/>
        </w:rPr>
        <w:t>) have been adopted by any corporate body of the Dutch Company other than the Supervisory Board Charter and the Managing Board and Executive Committee Charter, (ii) the Articles of Association were the Dutch Company's articles of association in force at the time the Warrant Agreement was executed, (iii) the Articles of Association are the Dutch Company's articles of association currently in force and (vi) the Articles of Association will be the Dutch Company's articles of association in force at each Relevant Moment. The Extract supports item (iii) of this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40" w:hanging="632"/>
        <w:spacing w:after="0" w:line="296" w:lineRule="auto"/>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at each Relevant Moment, the resolutions recorded in the Resolutions shall be in full force and effect, (ii) at each Relevant Moment, the factual statements made and the confirmations given in the Resolutions shall be complete and correct and (iii) the Resolutions correctly reflect the resolutions recorded therein;</w:t>
      </w:r>
    </w:p>
    <w:p>
      <w:pPr>
        <w:spacing w:after="0" w:line="144" w:lineRule="exact"/>
        <w:rPr>
          <w:rFonts w:ascii="Times New Roman" w:cs="Times New Roman" w:eastAsia="Times New Roman" w:hAnsi="Times New Roman"/>
          <w:sz w:val="20"/>
          <w:szCs w:val="20"/>
          <w:color w:val="auto"/>
        </w:rPr>
      </w:pPr>
    </w:p>
    <w:p>
      <w:pPr>
        <w:ind w:left="640" w:hanging="632"/>
        <w:spacing w:after="0" w:line="315" w:lineRule="auto"/>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Relevant Moment, the authorised share capital (</w:t>
      </w:r>
      <w:r>
        <w:rPr>
          <w:rFonts w:ascii="Times New Roman" w:cs="Times New Roman" w:eastAsia="Times New Roman" w:hAnsi="Times New Roman"/>
          <w:sz w:val="20"/>
          <w:szCs w:val="20"/>
          <w:i w:val="1"/>
          <w:iCs w:val="1"/>
          <w:color w:val="auto"/>
        </w:rPr>
        <w:t>maatschappelijk kapitaal</w:t>
      </w:r>
      <w:r>
        <w:rPr>
          <w:rFonts w:ascii="Times New Roman" w:cs="Times New Roman" w:eastAsia="Times New Roman" w:hAnsi="Times New Roman"/>
          <w:sz w:val="20"/>
          <w:szCs w:val="20"/>
          <w:color w:val="auto"/>
        </w:rPr>
        <w:t>) of the Dutch Company shall allow for the issuance of the Warrant Shares;</w:t>
      </w:r>
    </w:p>
    <w:p>
      <w:pPr>
        <w:spacing w:after="0" w:line="115" w:lineRule="exact"/>
        <w:rPr>
          <w:rFonts w:ascii="Times New Roman" w:cs="Times New Roman" w:eastAsia="Times New Roman" w:hAnsi="Times New Roman"/>
          <w:sz w:val="20"/>
          <w:szCs w:val="20"/>
          <w:color w:val="auto"/>
        </w:rPr>
      </w:pPr>
    </w:p>
    <w:p>
      <w:pPr>
        <w:jc w:val="both"/>
        <w:ind w:left="640" w:hanging="632"/>
        <w:spacing w:after="0" w:line="291" w:lineRule="auto"/>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price for the Warrant shall at least equal the aggregate nominal value of the underlying Warrant Shares, any such exercise price shall have been paid in cash or otherwise satisfied as provided for in the Warrant Agreement and shall have been received and accepted by the Company ultimately upon the issuance of the relevant Warrant Shares and, where relevant, the Company shall have consented to payment in a currency other than Euro;</w:t>
      </w:r>
    </w:p>
    <w:p>
      <w:pPr>
        <w:spacing w:after="0" w:line="136" w:lineRule="exact"/>
        <w:rPr>
          <w:rFonts w:ascii="Times New Roman" w:cs="Times New Roman" w:eastAsia="Times New Roman" w:hAnsi="Times New Roman"/>
          <w:sz w:val="20"/>
          <w:szCs w:val="20"/>
          <w:color w:val="auto"/>
        </w:rPr>
      </w:pPr>
    </w:p>
    <w:p>
      <w:pPr>
        <w:jc w:val="both"/>
        <w:ind w:left="640" w:hanging="632"/>
        <w:spacing w:after="0" w:line="298" w:lineRule="auto"/>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(i) has been validly granted as a right to subscribe for Ordinary Shares (</w:t>
      </w:r>
      <w:r>
        <w:rPr>
          <w:rFonts w:ascii="Times New Roman" w:cs="Times New Roman" w:eastAsia="Times New Roman" w:hAnsi="Times New Roman"/>
          <w:sz w:val="20"/>
          <w:szCs w:val="20"/>
          <w:i w:val="1"/>
          <w:iCs w:val="1"/>
          <w:color w:val="auto"/>
        </w:rPr>
        <w:t>recht tot het nemen van aandelen</w:t>
      </w:r>
      <w:r>
        <w:rPr>
          <w:rFonts w:ascii="Times New Roman" w:cs="Times New Roman" w:eastAsia="Times New Roman" w:hAnsi="Times New Roman"/>
          <w:sz w:val="20"/>
          <w:szCs w:val="20"/>
          <w:color w:val="auto"/>
        </w:rPr>
        <w:t>), (ii) shall be in full force and effect upon being exercised and (iii) shall have been validly exercised in accordance with the terms of the Warrant Agreement prior to the issuance of the underlying Warrant Shares; and</w:t>
      </w:r>
    </w:p>
    <w:p>
      <w:pPr>
        <w:spacing w:after="0" w:line="146" w:lineRule="exact"/>
        <w:rPr>
          <w:rFonts w:ascii="Times New Roman" w:cs="Times New Roman" w:eastAsia="Times New Roman" w:hAnsi="Times New Roman"/>
          <w:sz w:val="20"/>
          <w:szCs w:val="20"/>
          <w:color w:val="auto"/>
        </w:rPr>
      </w:pPr>
    </w:p>
    <w:p>
      <w:pPr>
        <w:ind w:left="640" w:hanging="632"/>
        <w:spacing w:after="0" w:line="311" w:lineRule="auto"/>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Relevant Moment, each of the other assumptions made in this opinion letter will be correct in all aspects by reference to the facts and circumstances then existing.</w:t>
      </w:r>
    </w:p>
    <w:p>
      <w:pPr>
        <w:spacing w:after="0" w:line="119"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Based upon and subject to the foregoing and subject to the qualifications set forth in this opinion letter and to any matters, documents or events not disclosed to us, we express the following opinions: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Incorporation and Corporate Status</w:t>
      </w:r>
    </w:p>
    <w:p>
      <w:pPr>
        <w:spacing w:after="0" w:line="40" w:lineRule="exact"/>
        <w:rPr>
          <w:sz w:val="20"/>
          <w:szCs w:val="20"/>
          <w:color w:val="auto"/>
        </w:rPr>
      </w:pPr>
    </w:p>
    <w:p>
      <w:pPr>
        <w:ind w:left="640" w:hanging="632"/>
        <w:spacing w:after="0" w:line="315"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Dutch Company has been duly incorporated as a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xml:space="preserve"> and is validly existing as a </w:t>
      </w:r>
      <w:r>
        <w:rPr>
          <w:rFonts w:ascii="Times New Roman" w:cs="Times New Roman" w:eastAsia="Times New Roman" w:hAnsi="Times New Roman"/>
          <w:sz w:val="20"/>
          <w:szCs w:val="20"/>
          <w:i w:val="1"/>
          <w:iCs w:val="1"/>
          <w:color w:val="auto"/>
        </w:rPr>
        <w:t>naamloze vennootschap</w:t>
      </w:r>
      <w:r>
        <w:rPr>
          <w:rFonts w:ascii="Times New Roman" w:cs="Times New Roman" w:eastAsia="Times New Roman" w:hAnsi="Times New Roman"/>
          <w:sz w:val="20"/>
          <w:szCs w:val="20"/>
          <w:color w:val="auto"/>
        </w:rPr>
        <w:t>.</w:t>
      </w:r>
    </w:p>
    <w:p>
      <w:pPr>
        <w:spacing w:after="0" w:line="125"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Warrant Shares</w:t>
      </w:r>
    </w:p>
    <w:p>
      <w:pPr>
        <w:spacing w:after="0" w:line="44" w:lineRule="exact"/>
        <w:rPr>
          <w:rFonts w:ascii="Times New Roman" w:cs="Times New Roman" w:eastAsia="Times New Roman" w:hAnsi="Times New Roman"/>
          <w:sz w:val="20"/>
          <w:szCs w:val="20"/>
          <w:color w:val="auto"/>
        </w:rPr>
      </w:pPr>
    </w:p>
    <w:p>
      <w:pPr>
        <w:jc w:val="both"/>
        <w:ind w:left="640" w:hanging="632"/>
        <w:spacing w:after="0" w:line="296"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by the Dutch Company of payment in full for, or other satisfaction of the exercise price for, the Warrant Shares as provided for in the Warrant Agreement, and when issued and accepted in accordance with the Resolutions and the Warrant Agreement, the Warrant Shares shall be validly issued, fully paid and non-assessable.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opinions expressed above are subject to the following qualifications:</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i w:val="1"/>
          <w:iCs w:val="1"/>
          <w:color w:val="auto"/>
        </w:rPr>
        <w:t>Corporate Law Qualifications</w:t>
      </w:r>
    </w:p>
    <w:p>
      <w:pPr>
        <w:spacing w:after="0" w:line="229" w:lineRule="exact"/>
        <w:rPr>
          <w:sz w:val="20"/>
          <w:szCs w:val="20"/>
          <w:color w:val="auto"/>
        </w:rPr>
      </w:pPr>
    </w:p>
    <w:p>
      <w:pPr>
        <w:jc w:val="both"/>
        <w:ind w:left="640" w:hanging="632"/>
        <w:spacing w:after="0" w:line="290" w:lineRule="auto"/>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opinion expressed in paragraph 1 (</w:t>
      </w:r>
      <w:r>
        <w:rPr>
          <w:rFonts w:ascii="Times New Roman" w:cs="Times New Roman" w:eastAsia="Times New Roman" w:hAnsi="Times New Roman"/>
          <w:sz w:val="20"/>
          <w:szCs w:val="20"/>
          <w:i w:val="1"/>
          <w:iCs w:val="1"/>
          <w:color w:val="auto"/>
        </w:rPr>
        <w:t>Incorporation and Corporate Status</w:t>
      </w:r>
      <w:r>
        <w:rPr>
          <w:rFonts w:ascii="Times New Roman" w:cs="Times New Roman" w:eastAsia="Times New Roman" w:hAnsi="Times New Roman"/>
          <w:sz w:val="20"/>
          <w:szCs w:val="20"/>
          <w:color w:val="auto"/>
        </w:rPr>
        <w:t>) of this opinion letter must not be read to imply that the Dutch Company cannot be dissolved (</w:t>
      </w:r>
      <w:r>
        <w:rPr>
          <w:rFonts w:ascii="Times New Roman" w:cs="Times New Roman" w:eastAsia="Times New Roman" w:hAnsi="Times New Roman"/>
          <w:sz w:val="20"/>
          <w:szCs w:val="20"/>
          <w:i w:val="1"/>
          <w:iCs w:val="1"/>
          <w:color w:val="auto"/>
        </w:rPr>
        <w:t>ontbonden</w:t>
      </w:r>
      <w:r>
        <w:rPr>
          <w:rFonts w:ascii="Times New Roman" w:cs="Times New Roman" w:eastAsia="Times New Roman" w:hAnsi="Times New Roman"/>
          <w:sz w:val="20"/>
          <w:szCs w:val="20"/>
          <w:color w:val="auto"/>
        </w:rPr>
        <w:t xml:space="preserve">). A company such as the Dutch Company may be dissolved,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by the competent court at the request of the company's management board, any interested party (</w:t>
      </w:r>
      <w:r>
        <w:rPr>
          <w:rFonts w:ascii="Times New Roman" w:cs="Times New Roman" w:eastAsia="Times New Roman" w:hAnsi="Times New Roman"/>
          <w:sz w:val="20"/>
          <w:szCs w:val="20"/>
          <w:i w:val="1"/>
          <w:iCs w:val="1"/>
          <w:color w:val="auto"/>
        </w:rPr>
        <w:t>belanghebbende</w:t>
      </w:r>
      <w:r>
        <w:rPr>
          <w:rFonts w:ascii="Times New Roman" w:cs="Times New Roman" w:eastAsia="Times New Roman" w:hAnsi="Times New Roman"/>
          <w:sz w:val="20"/>
          <w:szCs w:val="20"/>
          <w:color w:val="auto"/>
        </w:rPr>
        <w:t>) or the public prosecution office in certain circumstances, such as when there are certain defects in the incorporation of the company. Any such dissolution will not have retro-active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40" w:hanging="632"/>
        <w:spacing w:after="0" w:line="285"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Article 2:7 DCC, any transaction entered into by a legal entity may be nullified by the legal entity itself or its liquidator in bankruptcy proceedings (</w:t>
      </w:r>
      <w:r>
        <w:rPr>
          <w:rFonts w:ascii="Times New Roman" w:cs="Times New Roman" w:eastAsia="Times New Roman" w:hAnsi="Times New Roman"/>
          <w:sz w:val="20"/>
          <w:szCs w:val="20"/>
          <w:i w:val="1"/>
          <w:iCs w:val="1"/>
          <w:color w:val="auto"/>
        </w:rPr>
        <w:t>curator</w:t>
      </w:r>
      <w:r>
        <w:rPr>
          <w:rFonts w:ascii="Times New Roman" w:cs="Times New Roman" w:eastAsia="Times New Roman" w:hAnsi="Times New Roman"/>
          <w:sz w:val="20"/>
          <w:szCs w:val="20"/>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20"/>
          <w:szCs w:val="20"/>
          <w:i w:val="1"/>
          <w:iCs w:val="1"/>
          <w:color w:val="auto"/>
        </w:rPr>
        <w:t>wist of zonder eigen onderzoek moest weten</w:t>
      </w:r>
      <w:r>
        <w:rPr>
          <w:rFonts w:ascii="Times New Roman" w:cs="Times New Roman" w:eastAsia="Times New Roman" w:hAnsi="Times New Roman"/>
          <w:sz w:val="20"/>
          <w:szCs w:val="20"/>
          <w:color w:val="auto"/>
        </w:rPr>
        <w:t>). The Dutch Supreme Court (</w:t>
      </w:r>
      <w:r>
        <w:rPr>
          <w:rFonts w:ascii="Times New Roman" w:cs="Times New Roman" w:eastAsia="Times New Roman" w:hAnsi="Times New Roman"/>
          <w:sz w:val="20"/>
          <w:szCs w:val="20"/>
          <w:i w:val="1"/>
          <w:iCs w:val="1"/>
          <w:color w:val="auto"/>
        </w:rPr>
        <w:t>Hoge Raad der Nederlanden</w:t>
      </w:r>
      <w:r>
        <w:rPr>
          <w:rFonts w:ascii="Times New Roman" w:cs="Times New Roman" w:eastAsia="Times New Roman" w:hAnsi="Times New Roman"/>
          <w:sz w:val="20"/>
          <w:szCs w:val="20"/>
          <w:color w:val="auto"/>
        </w:rPr>
        <w:t>) has ruled that in determining whether the objects of a legal entity are transgressed, not only the description of the objects in that legal entity's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entering into the Warrant Agreement, the Dutch Company would transgress the description of the objects contained in its Articles of Association. However, we cannot assess whether there are other relevant circumstances that must be taken into account, in particular whether the interests of the Dutch Company are served by entering into the Warrant Agreement since this is a matter of fact.</w:t>
      </w:r>
    </w:p>
    <w:p>
      <w:pPr>
        <w:spacing w:after="0" w:line="154" w:lineRule="exact"/>
        <w:rPr>
          <w:rFonts w:ascii="Times New Roman" w:cs="Times New Roman" w:eastAsia="Times New Roman" w:hAnsi="Times New Roman"/>
          <w:sz w:val="20"/>
          <w:szCs w:val="20"/>
          <w:color w:val="auto"/>
        </w:rPr>
      </w:pPr>
    </w:p>
    <w:p>
      <w:pPr>
        <w:jc w:val="both"/>
        <w:ind w:left="640" w:hanging="632"/>
        <w:spacing w:after="0" w:line="285"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Article 2:98c DCC, a company such as the Dutch Company may grant loans (</w:t>
      </w:r>
      <w:r>
        <w:rPr>
          <w:rFonts w:ascii="Times New Roman" w:cs="Times New Roman" w:eastAsia="Times New Roman" w:hAnsi="Times New Roman"/>
          <w:sz w:val="20"/>
          <w:szCs w:val="20"/>
          <w:i w:val="1"/>
          <w:iCs w:val="1"/>
          <w:color w:val="auto"/>
        </w:rPr>
        <w:t>leningen verstrekken</w:t>
      </w:r>
      <w:r>
        <w:rPr>
          <w:rFonts w:ascii="Times New Roman" w:cs="Times New Roman" w:eastAsia="Times New Roman" w:hAnsi="Times New Roman"/>
          <w:sz w:val="20"/>
          <w:szCs w:val="20"/>
          <w:color w:val="auto"/>
        </w:rPr>
        <w:t>) only in accordance with the restrictions set out in Article 2:98c DCC, and may not provide security (</w:t>
      </w:r>
      <w:r>
        <w:rPr>
          <w:rFonts w:ascii="Times New Roman" w:cs="Times New Roman" w:eastAsia="Times New Roman" w:hAnsi="Times New Roman"/>
          <w:sz w:val="20"/>
          <w:szCs w:val="20"/>
          <w:i w:val="1"/>
          <w:iCs w:val="1"/>
          <w:color w:val="auto"/>
        </w:rPr>
        <w:t>zekerheid stellen</w:t>
      </w:r>
      <w:r>
        <w:rPr>
          <w:rFonts w:ascii="Times New Roman" w:cs="Times New Roman" w:eastAsia="Times New Roman" w:hAnsi="Times New Roman"/>
          <w:sz w:val="20"/>
          <w:szCs w:val="20"/>
          <w:color w:val="auto"/>
        </w:rPr>
        <w:t>), give a price guarantee (</w:t>
      </w:r>
      <w:r>
        <w:rPr>
          <w:rFonts w:ascii="Times New Roman" w:cs="Times New Roman" w:eastAsia="Times New Roman" w:hAnsi="Times New Roman"/>
          <w:sz w:val="20"/>
          <w:szCs w:val="20"/>
          <w:i w:val="1"/>
          <w:iCs w:val="1"/>
          <w:color w:val="auto"/>
        </w:rPr>
        <w:t>koersgarantie geven</w:t>
      </w:r>
      <w:r>
        <w:rPr>
          <w:rFonts w:ascii="Times New Roman" w:cs="Times New Roman" w:eastAsia="Times New Roman" w:hAnsi="Times New Roman"/>
          <w:sz w:val="20"/>
          <w:szCs w:val="20"/>
          <w:color w:val="auto"/>
        </w:rPr>
        <w:t>) or otherwise bind itself, whether jointly and severally or otherwise with or for third parties (</w:t>
      </w:r>
      <w:r>
        <w:rPr>
          <w:rFonts w:ascii="Times New Roman" w:cs="Times New Roman" w:eastAsia="Times New Roman" w:hAnsi="Times New Roman"/>
          <w:sz w:val="20"/>
          <w:szCs w:val="20"/>
          <w:i w:val="1"/>
          <w:iCs w:val="1"/>
          <w:color w:val="auto"/>
        </w:rPr>
        <w:t>zich op andere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wijze sterk maken of zich hoofdelijk of anderszins naast of voor anderen verbinden</w:t>
      </w:r>
      <w:r>
        <w:rPr>
          <w:rFonts w:ascii="Times New Roman" w:cs="Times New Roman" w:eastAsia="Times New Roman" w:hAnsi="Times New Roman"/>
          <w:sz w:val="20"/>
          <w:szCs w:val="20"/>
          <w:color w:val="auto"/>
        </w:rPr>
        <w:t>) with a view to (</w:t>
      </w:r>
      <w:r>
        <w:rPr>
          <w:rFonts w:ascii="Times New Roman" w:cs="Times New Roman" w:eastAsia="Times New Roman" w:hAnsi="Times New Roman"/>
          <w:sz w:val="20"/>
          <w:szCs w:val="20"/>
          <w:i w:val="1"/>
          <w:iCs w:val="1"/>
          <w:color w:val="auto"/>
        </w:rPr>
        <w:t>met het oog op</w:t>
      </w:r>
      <w:r>
        <w:rPr>
          <w:rFonts w:ascii="Times New Roman" w:cs="Times New Roman" w:eastAsia="Times New Roman" w:hAnsi="Times New Roman"/>
          <w:sz w:val="20"/>
          <w:szCs w:val="20"/>
          <w:color w:val="auto"/>
        </w:rPr>
        <w:t>) the subscription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acquisition by third parties of shares in its share capital or depository receipts. This prohibition also applies to its subsidiaries (</w:t>
      </w:r>
      <w:r>
        <w:rPr>
          <w:rFonts w:ascii="Times New Roman" w:cs="Times New Roman" w:eastAsia="Times New Roman" w:hAnsi="Times New Roman"/>
          <w:sz w:val="20"/>
          <w:szCs w:val="20"/>
          <w:i w:val="1"/>
          <w:iCs w:val="1"/>
          <w:color w:val="auto"/>
        </w:rPr>
        <w:t>dochtervennootschappen</w:t>
      </w:r>
      <w:r>
        <w:rPr>
          <w:rFonts w:ascii="Times New Roman" w:cs="Times New Roman" w:eastAsia="Times New Roman" w:hAnsi="Times New Roman"/>
          <w:sz w:val="20"/>
          <w:szCs w:val="20"/>
          <w:color w:val="auto"/>
        </w:rPr>
        <w:t>). It is generally assumed that a transaction entered into in violation of Article 2:98c DCC is null and void (</w:t>
      </w:r>
      <w:r>
        <w:rPr>
          <w:rFonts w:ascii="Times New Roman" w:cs="Times New Roman" w:eastAsia="Times New Roman" w:hAnsi="Times New Roman"/>
          <w:sz w:val="20"/>
          <w:szCs w:val="20"/>
          <w:i w:val="1"/>
          <w:iCs w:val="1"/>
          <w:color w:val="auto"/>
        </w:rPr>
        <w:t>nietig</w:t>
      </w:r>
      <w:r>
        <w:rPr>
          <w:rFonts w:ascii="Times New Roman" w:cs="Times New Roman" w:eastAsia="Times New Roman" w:hAnsi="Times New Roman"/>
          <w:sz w:val="20"/>
          <w:szCs w:val="20"/>
          <w:color w:val="auto"/>
        </w:rPr>
        <w:t>). Based on the content of the Warrant Agreement, we have no reason to believe that the Dutch Company or its subsidiaries will violate Article 2:98c DCC in connection with the issue of the Warrant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14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opinions expressed in this opinion letter may be limited or affected by:</w:t>
      </w:r>
    </w:p>
    <w:p>
      <w:pPr>
        <w:spacing w:after="0" w:line="215" w:lineRule="exact"/>
        <w:rPr>
          <w:rFonts w:ascii="Times New Roman" w:cs="Times New Roman" w:eastAsia="Times New Roman" w:hAnsi="Times New Roman"/>
          <w:sz w:val="20"/>
          <w:szCs w:val="20"/>
          <w:color w:val="auto"/>
        </w:rPr>
      </w:pPr>
    </w:p>
    <w:p>
      <w:pPr>
        <w:ind w:left="1280" w:hanging="638"/>
        <w:spacing w:after="0" w:line="311" w:lineRule="auto"/>
        <w:tabs>
          <w:tab w:leader="none" w:pos="12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relating to Insolvency Proceedings or similar proceedings under a foreign law and other rules affecting creditors' rights generally;</w:t>
      </w:r>
    </w:p>
    <w:p>
      <w:pPr>
        <w:spacing w:after="0" w:line="128" w:lineRule="exact"/>
        <w:rPr>
          <w:rFonts w:ascii="Times New Roman" w:cs="Times New Roman" w:eastAsia="Times New Roman" w:hAnsi="Times New Roman"/>
          <w:sz w:val="20"/>
          <w:szCs w:val="20"/>
          <w:color w:val="auto"/>
        </w:rPr>
      </w:pPr>
    </w:p>
    <w:p>
      <w:pPr>
        <w:ind w:left="1280" w:hanging="638"/>
        <w:spacing w:after="0" w:line="315" w:lineRule="auto"/>
        <w:tabs>
          <w:tab w:leader="none" w:pos="12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fraudulent preference and fraudulent conveyance (</w:t>
      </w:r>
      <w:r>
        <w:rPr>
          <w:rFonts w:ascii="Times New Roman" w:cs="Times New Roman" w:eastAsia="Times New Roman" w:hAnsi="Times New Roman"/>
          <w:sz w:val="20"/>
          <w:szCs w:val="20"/>
          <w:i w:val="1"/>
          <w:iCs w:val="1"/>
          <w:color w:val="auto"/>
        </w:rPr>
        <w:t>Actio Pauliana</w:t>
      </w:r>
      <w:r>
        <w:rPr>
          <w:rFonts w:ascii="Times New Roman" w:cs="Times New Roman" w:eastAsia="Times New Roman" w:hAnsi="Times New Roman"/>
          <w:sz w:val="20"/>
          <w:szCs w:val="20"/>
          <w:color w:val="auto"/>
        </w:rPr>
        <w:t>) and similar rights available in other jurisdictions to insolvency practitioners and insolvency office holders in bankruptcy proceedings or creditors;</w:t>
      </w:r>
    </w:p>
    <w:p>
      <w:pPr>
        <w:spacing w:after="0" w:line="111" w:lineRule="exact"/>
        <w:rPr>
          <w:rFonts w:ascii="Times New Roman" w:cs="Times New Roman" w:eastAsia="Times New Roman" w:hAnsi="Times New Roman"/>
          <w:sz w:val="20"/>
          <w:szCs w:val="20"/>
          <w:color w:val="auto"/>
        </w:rPr>
      </w:pPr>
    </w:p>
    <w:p>
      <w:pPr>
        <w:ind w:left="1280" w:hanging="638"/>
        <w:spacing w:after="0"/>
        <w:tabs>
          <w:tab w:leader="none" w:pos="12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based on tort (</w:t>
      </w:r>
      <w:r>
        <w:rPr>
          <w:rFonts w:ascii="Times New Roman" w:cs="Times New Roman" w:eastAsia="Times New Roman" w:hAnsi="Times New Roman"/>
          <w:sz w:val="20"/>
          <w:szCs w:val="20"/>
          <w:i w:val="1"/>
          <w:iCs w:val="1"/>
          <w:color w:val="auto"/>
        </w:rPr>
        <w:t>onrechtmatige daad</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280" w:hanging="638"/>
        <w:spacing w:after="0" w:line="311" w:lineRule="auto"/>
        <w:tabs>
          <w:tab w:leader="none" w:pos="12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20"/>
          <w:szCs w:val="20"/>
          <w:i w:val="1"/>
          <w:iCs w:val="1"/>
          <w:color w:val="auto"/>
        </w:rPr>
        <w:t>Sanctiewet 1977</w:t>
      </w:r>
      <w:r>
        <w:rPr>
          <w:rFonts w:ascii="Times New Roman" w:cs="Times New Roman" w:eastAsia="Times New Roman" w:hAnsi="Times New Roman"/>
          <w:sz w:val="20"/>
          <w:szCs w:val="20"/>
          <w:color w:val="auto"/>
        </w:rPr>
        <w:t>) or other legislation;</w:t>
      </w:r>
    </w:p>
    <w:p>
      <w:pPr>
        <w:spacing w:after="0" w:line="132" w:lineRule="exact"/>
        <w:rPr>
          <w:rFonts w:ascii="Times New Roman" w:cs="Times New Roman" w:eastAsia="Times New Roman" w:hAnsi="Times New Roman"/>
          <w:sz w:val="20"/>
          <w:szCs w:val="20"/>
          <w:color w:val="auto"/>
        </w:rPr>
      </w:pPr>
    </w:p>
    <w:p>
      <w:pPr>
        <w:ind w:left="1280" w:hanging="638"/>
        <w:spacing w:after="0"/>
        <w:tabs>
          <w:tab w:leader="none" w:pos="12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Anti-Boycott Regulation, Anti-Money Laundering Laws and related legislation;</w:t>
      </w:r>
    </w:p>
    <w:p>
      <w:pPr>
        <w:spacing w:after="0" w:line="215" w:lineRule="exact"/>
        <w:rPr>
          <w:rFonts w:ascii="Times New Roman" w:cs="Times New Roman" w:eastAsia="Times New Roman" w:hAnsi="Times New Roman"/>
          <w:sz w:val="20"/>
          <w:szCs w:val="20"/>
          <w:color w:val="auto"/>
        </w:rPr>
      </w:pPr>
    </w:p>
    <w:p>
      <w:pPr>
        <w:ind w:left="1280" w:hanging="638"/>
        <w:spacing w:after="0" w:line="311" w:lineRule="auto"/>
        <w:tabs>
          <w:tab w:leader="none" w:pos="12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intervention, recovery or resolution measure by any regulatory or other authority or governmental body in relation to financial enterprises or their affiliated entities;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80" w:hanging="638"/>
        <w:spacing w:after="0" w:line="293" w:lineRule="auto"/>
        <w:tabs>
          <w:tab w:leader="none" w:pos="128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rules of force majeure (</w:t>
      </w:r>
      <w:r>
        <w:rPr>
          <w:rFonts w:ascii="Times New Roman" w:cs="Times New Roman" w:eastAsia="Times New Roman" w:hAnsi="Times New Roman"/>
          <w:sz w:val="20"/>
          <w:szCs w:val="20"/>
          <w:i w:val="1"/>
          <w:iCs w:val="1"/>
          <w:color w:val="auto"/>
        </w:rPr>
        <w:t>niet toerekenbare tekortkoming</w:t>
      </w:r>
      <w:r>
        <w:rPr>
          <w:rFonts w:ascii="Times New Roman" w:cs="Times New Roman" w:eastAsia="Times New Roman" w:hAnsi="Times New Roman"/>
          <w:sz w:val="20"/>
          <w:szCs w:val="20"/>
          <w:color w:val="auto"/>
        </w:rPr>
        <w:t>), reasonableness and fairness (</w:t>
      </w:r>
      <w:r>
        <w:rPr>
          <w:rFonts w:ascii="Times New Roman" w:cs="Times New Roman" w:eastAsia="Times New Roman" w:hAnsi="Times New Roman"/>
          <w:sz w:val="20"/>
          <w:szCs w:val="20"/>
          <w:i w:val="1"/>
          <w:iCs w:val="1"/>
          <w:color w:val="auto"/>
        </w:rPr>
        <w:t>redelijkheid en billijkheid</w:t>
      </w:r>
      <w:r>
        <w:rPr>
          <w:rFonts w:ascii="Times New Roman" w:cs="Times New Roman" w:eastAsia="Times New Roman" w:hAnsi="Times New Roman"/>
          <w:sz w:val="20"/>
          <w:szCs w:val="20"/>
          <w:color w:val="auto"/>
        </w:rPr>
        <w:t>), suspension (</w:t>
      </w:r>
      <w:r>
        <w:rPr>
          <w:rFonts w:ascii="Times New Roman" w:cs="Times New Roman" w:eastAsia="Times New Roman" w:hAnsi="Times New Roman"/>
          <w:sz w:val="20"/>
          <w:szCs w:val="20"/>
          <w:i w:val="1"/>
          <w:iCs w:val="1"/>
          <w:color w:val="auto"/>
        </w:rPr>
        <w:t>opschorting</w:t>
      </w:r>
      <w:r>
        <w:rPr>
          <w:rFonts w:ascii="Times New Roman" w:cs="Times New Roman" w:eastAsia="Times New Roman" w:hAnsi="Times New Roman"/>
          <w:sz w:val="20"/>
          <w:szCs w:val="20"/>
          <w:color w:val="auto"/>
        </w:rPr>
        <w:t>), dissolution (</w:t>
      </w:r>
      <w:r>
        <w:rPr>
          <w:rFonts w:ascii="Times New Roman" w:cs="Times New Roman" w:eastAsia="Times New Roman" w:hAnsi="Times New Roman"/>
          <w:sz w:val="20"/>
          <w:szCs w:val="20"/>
          <w:i w:val="1"/>
          <w:iCs w:val="1"/>
          <w:color w:val="auto"/>
        </w:rPr>
        <w:t>ontbinding</w:t>
      </w:r>
      <w:r>
        <w:rPr>
          <w:rFonts w:ascii="Times New Roman" w:cs="Times New Roman" w:eastAsia="Times New Roman" w:hAnsi="Times New Roman"/>
          <w:sz w:val="20"/>
          <w:szCs w:val="20"/>
          <w:color w:val="auto"/>
        </w:rPr>
        <w:t>), unforeseen circumstances (</w:t>
      </w:r>
      <w:r>
        <w:rPr>
          <w:rFonts w:ascii="Times New Roman" w:cs="Times New Roman" w:eastAsia="Times New Roman" w:hAnsi="Times New Roman"/>
          <w:sz w:val="20"/>
          <w:szCs w:val="20"/>
          <w:i w:val="1"/>
          <w:iCs w:val="1"/>
          <w:color w:val="auto"/>
        </w:rPr>
        <w:t>onvoorziene omstandigheden</w:t>
      </w:r>
      <w:r>
        <w:rPr>
          <w:rFonts w:ascii="Times New Roman" w:cs="Times New Roman" w:eastAsia="Times New Roman" w:hAnsi="Times New Roman"/>
          <w:sz w:val="20"/>
          <w:szCs w:val="20"/>
          <w:color w:val="auto"/>
        </w:rPr>
        <w:t>) and vitiated consent (i.e., duress (</w:t>
      </w:r>
      <w:r>
        <w:rPr>
          <w:rFonts w:ascii="Times New Roman" w:cs="Times New Roman" w:eastAsia="Times New Roman" w:hAnsi="Times New Roman"/>
          <w:sz w:val="20"/>
          <w:szCs w:val="20"/>
          <w:i w:val="1"/>
          <w:iCs w:val="1"/>
          <w:color w:val="auto"/>
        </w:rPr>
        <w:t>bedreiging</w:t>
      </w:r>
      <w:r>
        <w:rPr>
          <w:rFonts w:ascii="Times New Roman" w:cs="Times New Roman" w:eastAsia="Times New Roman" w:hAnsi="Times New Roman"/>
          <w:sz w:val="20"/>
          <w:szCs w:val="20"/>
          <w:color w:val="auto"/>
        </w:rPr>
        <w:t>), fraud (</w:t>
      </w:r>
      <w:r>
        <w:rPr>
          <w:rFonts w:ascii="Times New Roman" w:cs="Times New Roman" w:eastAsia="Times New Roman" w:hAnsi="Times New Roman"/>
          <w:sz w:val="20"/>
          <w:szCs w:val="20"/>
          <w:i w:val="1"/>
          <w:iCs w:val="1"/>
          <w:color w:val="auto"/>
        </w:rPr>
        <w:t>bedrog</w:t>
      </w:r>
      <w:r>
        <w:rPr>
          <w:rFonts w:ascii="Times New Roman" w:cs="Times New Roman" w:eastAsia="Times New Roman" w:hAnsi="Times New Roman"/>
          <w:sz w:val="20"/>
          <w:szCs w:val="20"/>
          <w:color w:val="auto"/>
        </w:rPr>
        <w:t>), abuse of circumstances (</w:t>
      </w:r>
      <w:r>
        <w:rPr>
          <w:rFonts w:ascii="Times New Roman" w:cs="Times New Roman" w:eastAsia="Times New Roman" w:hAnsi="Times New Roman"/>
          <w:sz w:val="20"/>
          <w:szCs w:val="20"/>
          <w:i w:val="1"/>
          <w:iCs w:val="1"/>
          <w:color w:val="auto"/>
        </w:rPr>
        <w:t>misbruik van omstandigheden</w:t>
      </w:r>
      <w:r>
        <w:rPr>
          <w:rFonts w:ascii="Times New Roman" w:cs="Times New Roman" w:eastAsia="Times New Roman" w:hAnsi="Times New Roman"/>
          <w:sz w:val="20"/>
          <w:szCs w:val="20"/>
          <w:color w:val="auto"/>
        </w:rPr>
        <w:t>) and error (</w:t>
      </w:r>
      <w:r>
        <w:rPr>
          <w:rFonts w:ascii="Times New Roman" w:cs="Times New Roman" w:eastAsia="Times New Roman" w:hAnsi="Times New Roman"/>
          <w:sz w:val="20"/>
          <w:szCs w:val="20"/>
          <w:i w:val="1"/>
          <w:iCs w:val="1"/>
          <w:color w:val="auto"/>
        </w:rPr>
        <w:t>dwaling</w:t>
      </w:r>
      <w:r>
        <w:rPr>
          <w:rFonts w:ascii="Times New Roman" w:cs="Times New Roman" w:eastAsia="Times New Roman" w:hAnsi="Times New Roman"/>
          <w:sz w:val="20"/>
          <w:szCs w:val="20"/>
          <w:color w:val="auto"/>
        </w:rPr>
        <w:t>)) or a difference of intention (</w:t>
      </w:r>
      <w:r>
        <w:rPr>
          <w:rFonts w:ascii="Times New Roman" w:cs="Times New Roman" w:eastAsia="Times New Roman" w:hAnsi="Times New Roman"/>
          <w:sz w:val="20"/>
          <w:szCs w:val="20"/>
          <w:i w:val="1"/>
          <w:iCs w:val="1"/>
          <w:color w:val="auto"/>
        </w:rPr>
        <w:t>wil</w:t>
      </w:r>
      <w:r>
        <w:rPr>
          <w:rFonts w:ascii="Times New Roman" w:cs="Times New Roman" w:eastAsia="Times New Roman" w:hAnsi="Times New Roman"/>
          <w:sz w:val="20"/>
          <w:szCs w:val="20"/>
          <w:color w:val="auto"/>
        </w:rPr>
        <w:t>) and declaration (</w:t>
      </w:r>
      <w:r>
        <w:rPr>
          <w:rFonts w:ascii="Times New Roman" w:cs="Times New Roman" w:eastAsia="Times New Roman" w:hAnsi="Times New Roman"/>
          <w:sz w:val="20"/>
          <w:szCs w:val="20"/>
          <w:i w:val="1"/>
          <w:iCs w:val="1"/>
          <w:color w:val="auto"/>
        </w:rPr>
        <w:t>verklaring</w:t>
      </w:r>
      <w:r>
        <w:rPr>
          <w:rFonts w:ascii="Times New Roman" w:cs="Times New Roman" w:eastAsia="Times New Roman" w:hAnsi="Times New Roman"/>
          <w:sz w:val="20"/>
          <w:szCs w:val="20"/>
          <w:color w:val="auto"/>
        </w:rPr>
        <w:t>).</w:t>
      </w:r>
    </w:p>
    <w:p>
      <w:pPr>
        <w:spacing w:after="0" w:line="149" w:lineRule="exact"/>
        <w:rPr>
          <w:rFonts w:ascii="Times New Roman" w:cs="Times New Roman" w:eastAsia="Times New Roman" w:hAnsi="Times New Roman"/>
          <w:sz w:val="20"/>
          <w:szCs w:val="20"/>
          <w:color w:val="auto"/>
        </w:rPr>
      </w:pPr>
    </w:p>
    <w:p>
      <w:pPr>
        <w:jc w:val="both"/>
        <w:ind w:left="640" w:hanging="632"/>
        <w:spacing w:after="0" w:line="296"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Dutch Company or its creditors for further payment on such Ordinary Share.</w:t>
      </w:r>
    </w:p>
    <w:p>
      <w:pPr>
        <w:spacing w:after="0" w:line="134" w:lineRule="exact"/>
        <w:rPr>
          <w:rFonts w:ascii="Times New Roman" w:cs="Times New Roman" w:eastAsia="Times New Roman" w:hAnsi="Times New Roman"/>
          <w:sz w:val="20"/>
          <w:szCs w:val="20"/>
          <w:color w:val="auto"/>
        </w:rPr>
      </w:pPr>
    </w:p>
    <w:p>
      <w:pPr>
        <w:ind w:left="640" w:hanging="632"/>
        <w:spacing w:after="0" w:line="311"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opinion letter does not purport to express any opinion or view on the operational rules and procedures of any clearing or settlement system or agency.</w:t>
      </w:r>
    </w:p>
    <w:p>
      <w:pPr>
        <w:spacing w:after="0" w:line="11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jc w:val="right"/>
        <w:ind w:right="44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Nauta Dutilh N.V.</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4180205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DEFINITIONS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Anti-Boycott Regulation</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Regulation (EC) No 2271/96 on protecting against the effects of the extra-</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territorial application of legislation adopted by a third country, and actions</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based thereon or resulting therefrom.</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European Anti-Money Laundering Directives, as implemented in the</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Netherlands in the Money Laundering and Terrorist Financing Prevention</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Act (</w:t>
            </w:r>
            <w:r>
              <w:rPr>
                <w:rFonts w:ascii="Times New Roman" w:cs="Times New Roman" w:eastAsia="Times New Roman" w:hAnsi="Times New Roman"/>
                <w:sz w:val="20"/>
                <w:szCs w:val="20"/>
                <w:i w:val="1"/>
                <w:iCs w:val="1"/>
                <w:color w:val="auto"/>
              </w:rPr>
              <w:t>Wet ter voorkoming van witwassen en financieren van terrorisme</w:t>
            </w:r>
            <w:r>
              <w:rPr>
                <w:rFonts w:ascii="Times New Roman" w:cs="Times New Roman" w:eastAsia="Times New Roman" w:hAnsi="Times New Roman"/>
                <w:sz w:val="20"/>
                <w:szCs w:val="20"/>
                <w:color w:val="auto"/>
              </w:rPr>
              <w:t>) and</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Dutch Criminal Code (</w:t>
            </w:r>
            <w:r>
              <w:rPr>
                <w:rFonts w:ascii="Times New Roman" w:cs="Times New Roman" w:eastAsia="Times New Roman" w:hAnsi="Times New Roman"/>
                <w:sz w:val="20"/>
                <w:szCs w:val="20"/>
                <w:i w:val="1"/>
                <w:iCs w:val="1"/>
                <w:color w:val="auto"/>
              </w:rPr>
              <w:t>Wetboek van Strafrecht</w:t>
            </w:r>
            <w:r>
              <w:rPr>
                <w:rFonts w:ascii="Times New Roman" w:cs="Times New Roman" w:eastAsia="Times New Roman" w:hAnsi="Times New Roman"/>
                <w:sz w:val="20"/>
                <w:szCs w:val="20"/>
                <w:color w:val="auto"/>
              </w:rPr>
              <w:t>).</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of the Dutch Company as they read</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from time to time</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Register</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Commercial Register held by the Dutch Chamber of Commerce</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handelsregister gehouden door de Kamer van Koophandel</w:t>
            </w:r>
            <w:r>
              <w:rPr>
                <w:rFonts w:ascii="Times New Roman" w:cs="Times New Roman" w:eastAsia="Times New Roman" w:hAnsi="Times New Roman"/>
                <w:sz w:val="20"/>
                <w:szCs w:val="20"/>
                <w:color w:val="auto"/>
              </w:rPr>
              <w:t>)</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Documents</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documents listed in Exhibit B</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Articles</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Articles of Association as contained in the deed of amendment dated</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22 May 2024</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DCC</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Dutch Civil Code (</w:t>
            </w:r>
            <w:r>
              <w:rPr>
                <w:rFonts w:ascii="Times New Roman" w:cs="Times New Roman" w:eastAsia="Times New Roman" w:hAnsi="Times New Roman"/>
                <w:sz w:val="20"/>
                <w:szCs w:val="20"/>
                <w:i w:val="1"/>
                <w:iCs w:val="1"/>
                <w:color w:val="auto"/>
              </w:rPr>
              <w:t>Burgerlijk Wetboek</w:t>
            </w:r>
            <w:r>
              <w:rPr>
                <w:rFonts w:ascii="Times New Roman" w:cs="Times New Roman" w:eastAsia="Times New Roman" w:hAnsi="Times New Roman"/>
                <w:sz w:val="20"/>
                <w:szCs w:val="20"/>
                <w:color w:val="auto"/>
              </w:rPr>
              <w:t>)</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Deed of Conversion</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deed of conversion of the Dutch Company, dated 31 March 1989</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Deed of Incorporation</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deed of incorporation (</w:t>
            </w:r>
            <w:r>
              <w:rPr>
                <w:rFonts w:ascii="Times New Roman" w:cs="Times New Roman" w:eastAsia="Times New Roman" w:hAnsi="Times New Roman"/>
                <w:sz w:val="20"/>
                <w:szCs w:val="20"/>
                <w:i w:val="1"/>
                <w:iCs w:val="1"/>
                <w:color w:val="auto"/>
              </w:rPr>
              <w:t>akte van oprichting</w:t>
            </w:r>
            <w:r>
              <w:rPr>
                <w:rFonts w:ascii="Times New Roman" w:cs="Times New Roman" w:eastAsia="Times New Roman" w:hAnsi="Times New Roman"/>
                <w:sz w:val="20"/>
                <w:szCs w:val="20"/>
                <w:color w:val="auto"/>
              </w:rPr>
              <w:t>) of the Dutch Company,</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dated 21 May 1987</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Dutch Company</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STMicroelectronics N.V.</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Dutch Bankruptcy Code</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the Dutch Bankruptcy Code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Exhibit</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an exhibit to this opinion letter</w:t>
            </w:r>
          </w:p>
        </w:tc>
      </w:tr>
      <w:tr>
        <w:trPr>
          <w:trHeight w:val="540"/>
        </w:trPr>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Proceedings</w:t>
            </w:r>
            <w:r>
              <w:rPr>
                <w:rFonts w:ascii="Times New Roman" w:cs="Times New Roman" w:eastAsia="Times New Roman" w:hAnsi="Times New Roman"/>
                <w:sz w:val="20"/>
                <w:szCs w:val="20"/>
                <w:color w:val="auto"/>
              </w:rPr>
              <w:t>"</w:t>
            </w: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any  insolvency  proceedings  within  the  meaning  of  Regulation  (EU)</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2015/848 on insolvency proceedings (recast), listed in Annex A thereto,</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any statutory proceedings for the restructuring of debts (</w:t>
            </w:r>
            <w:r>
              <w:rPr>
                <w:rFonts w:ascii="Times New Roman" w:cs="Times New Roman" w:eastAsia="Times New Roman" w:hAnsi="Times New Roman"/>
                <w:sz w:val="20"/>
                <w:szCs w:val="20"/>
                <w:i w:val="1"/>
                <w:iCs w:val="1"/>
                <w:color w:val="auto"/>
              </w:rPr>
              <w:t>akkoordprocedure</w:t>
            </w:r>
            <w:r>
              <w:rPr>
                <w:rFonts w:ascii="Times New Roman" w:cs="Times New Roman" w:eastAsia="Times New Roman" w:hAnsi="Times New Roman"/>
                <w:sz w:val="20"/>
                <w:szCs w:val="20"/>
                <w:color w:val="auto"/>
              </w:rPr>
              <w:t>)</w:t>
            </w:r>
          </w:p>
        </w:tc>
      </w:tr>
      <w:tr>
        <w:trPr>
          <w:trHeight w:val="270"/>
        </w:trPr>
        <w:tc>
          <w:tcPr>
            <w:tcW w:w="4000" w:type="dxa"/>
            <w:vAlign w:val="bottom"/>
          </w:tcPr>
          <w:p>
            <w:pPr>
              <w:spacing w:after="0"/>
              <w:rPr>
                <w:sz w:val="23"/>
                <w:szCs w:val="23"/>
                <w:color w:val="auto"/>
              </w:rPr>
            </w:pPr>
          </w:p>
        </w:tc>
        <w:tc>
          <w:tcPr>
            <w:tcW w:w="72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pursuant to the Dutch Bankruptcy Code</w:t>
            </w:r>
          </w:p>
        </w:tc>
      </w:tr>
      <w:tr>
        <w:trPr>
          <w:trHeight w:val="892"/>
        </w:trPr>
        <w:tc>
          <w:tcPr>
            <w:tcW w:w="40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Managing Board and Executive Committee Charter</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managing board and executive committee charter as available on the</w:t>
            </w:r>
          </w:p>
        </w:tc>
      </w:tr>
      <w:tr>
        <w:trPr>
          <w:trHeight w:val="270"/>
        </w:trPr>
        <w:tc>
          <w:tcPr>
            <w:tcW w:w="4920" w:type="dxa"/>
            <w:vAlign w:val="bottom"/>
          </w:tcPr>
          <w:p>
            <w:pPr>
              <w:spacing w:after="0"/>
              <w:rPr>
                <w:sz w:val="23"/>
                <w:szCs w:val="23"/>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website of the Dutch Company on the date of this letter, dated 29 January</w:t>
            </w:r>
          </w:p>
        </w:tc>
      </w:tr>
      <w:tr>
        <w:trPr>
          <w:trHeight w:val="270"/>
        </w:trPr>
        <w:tc>
          <w:tcPr>
            <w:tcW w:w="4920" w:type="dxa"/>
            <w:vAlign w:val="bottom"/>
          </w:tcPr>
          <w:p>
            <w:pPr>
              <w:spacing w:after="0"/>
              <w:rPr>
                <w:sz w:val="23"/>
                <w:szCs w:val="23"/>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2025</w:t>
            </w:r>
          </w:p>
        </w:tc>
        <w:tc>
          <w:tcPr>
            <w:tcW w:w="5440" w:type="dxa"/>
            <w:vAlign w:val="bottom"/>
          </w:tcPr>
          <w:p>
            <w:pPr>
              <w:spacing w:after="0"/>
              <w:rPr>
                <w:sz w:val="23"/>
                <w:szCs w:val="23"/>
                <w:color w:val="auto"/>
              </w:rPr>
            </w:pPr>
          </w:p>
        </w:tc>
      </w:tr>
      <w:tr>
        <w:trPr>
          <w:trHeight w:val="540"/>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NautaDutilh</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NautaDutilh N.V.</w:t>
            </w:r>
          </w:p>
        </w:tc>
      </w:tr>
      <w:tr>
        <w:trPr>
          <w:trHeight w:val="540"/>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the Netherlands</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European territory of the Kingdom of the Netherlands and "</w:t>
            </w:r>
            <w:r>
              <w:rPr>
                <w:rFonts w:ascii="Times New Roman" w:cs="Times New Roman" w:eastAsia="Times New Roman" w:hAnsi="Times New Roman"/>
                <w:sz w:val="20"/>
                <w:szCs w:val="20"/>
                <w:b w:val="1"/>
                <w:bCs w:val="1"/>
                <w:color w:val="auto"/>
              </w:rPr>
              <w:t>Dutch</w:t>
            </w:r>
            <w:r>
              <w:rPr>
                <w:rFonts w:ascii="Times New Roman" w:cs="Times New Roman" w:eastAsia="Times New Roman" w:hAnsi="Times New Roman"/>
                <w:sz w:val="20"/>
                <w:szCs w:val="20"/>
                <w:color w:val="auto"/>
              </w:rPr>
              <w:t>" is</w:t>
            </w:r>
          </w:p>
        </w:tc>
      </w:tr>
      <w:tr>
        <w:trPr>
          <w:trHeight w:val="270"/>
        </w:trPr>
        <w:tc>
          <w:tcPr>
            <w:tcW w:w="4920" w:type="dxa"/>
            <w:vAlign w:val="bottom"/>
          </w:tcPr>
          <w:p>
            <w:pPr>
              <w:spacing w:after="0"/>
              <w:rPr>
                <w:sz w:val="23"/>
                <w:szCs w:val="23"/>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 or from the Netherlands</w:t>
            </w:r>
          </w:p>
        </w:tc>
      </w:tr>
      <w:tr>
        <w:trPr>
          <w:trHeight w:val="540"/>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ordinary shares in the Dutch Company's capital, with a nominal value of</w:t>
            </w:r>
          </w:p>
        </w:tc>
      </w:tr>
      <w:tr>
        <w:trPr>
          <w:trHeight w:val="270"/>
        </w:trPr>
        <w:tc>
          <w:tcPr>
            <w:tcW w:w="4920" w:type="dxa"/>
            <w:vAlign w:val="bottom"/>
          </w:tcPr>
          <w:p>
            <w:pPr>
              <w:spacing w:after="0"/>
              <w:rPr>
                <w:sz w:val="23"/>
                <w:szCs w:val="23"/>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EUR 1.04 each</w:t>
            </w:r>
          </w:p>
        </w:tc>
      </w:tr>
      <w:tr>
        <w:trPr>
          <w:trHeight w:val="540"/>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Dutch Company's registration statement on Form F-3 under the U.S.</w:t>
            </w:r>
          </w:p>
        </w:tc>
      </w:tr>
      <w:tr>
        <w:trPr>
          <w:trHeight w:val="270"/>
        </w:trPr>
        <w:tc>
          <w:tcPr>
            <w:tcW w:w="4920" w:type="dxa"/>
            <w:vAlign w:val="bottom"/>
          </w:tcPr>
          <w:p>
            <w:pPr>
              <w:spacing w:after="0"/>
              <w:rPr>
                <w:sz w:val="23"/>
                <w:szCs w:val="23"/>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Securities Act of 1933, as amended, as filed by the Dutch Company with</w:t>
            </w:r>
          </w:p>
        </w:tc>
      </w:tr>
      <w:tr>
        <w:trPr>
          <w:trHeight w:val="270"/>
        </w:trPr>
        <w:tc>
          <w:tcPr>
            <w:tcW w:w="4920" w:type="dxa"/>
            <w:vAlign w:val="bottom"/>
          </w:tcPr>
          <w:p>
            <w:pPr>
              <w:spacing w:after="0"/>
              <w:rPr>
                <w:sz w:val="23"/>
                <w:szCs w:val="23"/>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SEC on 25 March 2026 and which will become effective on 25 March,</w:t>
            </w:r>
          </w:p>
        </w:tc>
      </w:tr>
      <w:tr>
        <w:trPr>
          <w:trHeight w:val="270"/>
        </w:trPr>
        <w:tc>
          <w:tcPr>
            <w:tcW w:w="4920" w:type="dxa"/>
            <w:vAlign w:val="bottom"/>
          </w:tcPr>
          <w:p>
            <w:pPr>
              <w:spacing w:after="0"/>
              <w:rPr>
                <w:sz w:val="23"/>
                <w:szCs w:val="23"/>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2026</w:t>
            </w:r>
          </w:p>
        </w:tc>
        <w:tc>
          <w:tcPr>
            <w:tcW w:w="5440" w:type="dxa"/>
            <w:vAlign w:val="bottom"/>
          </w:tcPr>
          <w:p>
            <w:pPr>
              <w:spacing w:after="0"/>
              <w:rPr>
                <w:sz w:val="23"/>
                <w:szCs w:val="23"/>
                <w:color w:val="auto"/>
              </w:rPr>
            </w:pPr>
          </w:p>
        </w:tc>
      </w:tr>
      <w:tr>
        <w:trPr>
          <w:trHeight w:val="540"/>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Moment</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each time when Warrant Shares are issued pursuant to the exercise of the</w:t>
            </w:r>
          </w:p>
        </w:tc>
      </w:tr>
      <w:tr>
        <w:trPr>
          <w:trHeight w:val="270"/>
        </w:trPr>
        <w:tc>
          <w:tcPr>
            <w:tcW w:w="4920" w:type="dxa"/>
            <w:vAlign w:val="bottom"/>
          </w:tcPr>
          <w:p>
            <w:pPr>
              <w:spacing w:after="0"/>
              <w:rPr>
                <w:sz w:val="23"/>
                <w:szCs w:val="23"/>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4"/>
              </w:rPr>
              <w:t>Warrant</w:t>
            </w:r>
          </w:p>
        </w:tc>
        <w:tc>
          <w:tcPr>
            <w:tcW w:w="5440" w:type="dxa"/>
            <w:vAlign w:val="bottom"/>
          </w:tcPr>
          <w:p>
            <w:pPr>
              <w:spacing w:after="0"/>
              <w:rPr>
                <w:sz w:val="23"/>
                <w:szCs w:val="23"/>
                <w:color w:val="auto"/>
              </w:rPr>
            </w:pPr>
          </w:p>
        </w:tc>
      </w:tr>
      <w:tr>
        <w:trPr>
          <w:trHeight w:val="540"/>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Resolutions</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each of the following:</w:t>
            </w:r>
          </w:p>
        </w:tc>
      </w:tr>
      <w:tr>
        <w:trPr>
          <w:trHeight w:val="459"/>
        </w:trPr>
        <w:tc>
          <w:tcPr>
            <w:tcW w:w="49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w:t>
            </w:r>
          </w:p>
        </w:tc>
        <w:tc>
          <w:tcPr>
            <w:tcW w:w="5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the minutes, convening notice and explanatory notes of the</w:t>
            </w:r>
          </w:p>
        </w:tc>
      </w:tr>
      <w:tr>
        <w:trPr>
          <w:trHeight w:val="297"/>
        </w:trPr>
        <w:tc>
          <w:tcPr>
            <w:tcW w:w="4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General Meeting held on 28 May 2025, in each case as available</w:t>
            </w:r>
          </w:p>
        </w:tc>
      </w:tr>
      <w:tr>
        <w:trPr>
          <w:trHeight w:val="270"/>
        </w:trPr>
        <w:tc>
          <w:tcPr>
            <w:tcW w:w="4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8"/>
              </w:rPr>
              <w:t>on the website of the Dutch Company on the date of this letter; and</w:t>
            </w:r>
          </w:p>
        </w:tc>
      </w:tr>
      <w:tr>
        <w:trPr>
          <w:trHeight w:val="445"/>
        </w:trPr>
        <w:tc>
          <w:tcPr>
            <w:tcW w:w="49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w:t>
            </w:r>
          </w:p>
        </w:tc>
        <w:tc>
          <w:tcPr>
            <w:tcW w:w="5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the resolutions as set out in the Supervisory Board Certificate</w:t>
            </w:r>
          </w:p>
        </w:tc>
      </w:tr>
      <w:tr>
        <w:trPr>
          <w:trHeight w:val="297"/>
        </w:trPr>
        <w:tc>
          <w:tcPr>
            <w:tcW w:w="4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dated 25 March 2026 which, among other matters, include the</w:t>
            </w:r>
          </w:p>
        </w:tc>
      </w:tr>
      <w:tr>
        <w:trPr>
          <w:trHeight w:val="270"/>
        </w:trPr>
        <w:tc>
          <w:tcPr>
            <w:tcW w:w="4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issuing the Warrant, the right to subscribe for up to 24,755,584</w:t>
            </w:r>
          </w:p>
        </w:tc>
      </w:tr>
      <w:tr>
        <w:trPr>
          <w:trHeight w:val="270"/>
        </w:trPr>
        <w:tc>
          <w:tcPr>
            <w:tcW w:w="4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Ordinary Shares and excluding pre-emption rights in connection</w:t>
            </w:r>
          </w:p>
        </w:tc>
      </w:tr>
      <w:tr>
        <w:trPr>
          <w:trHeight w:val="270"/>
        </w:trPr>
        <w:tc>
          <w:tcPr>
            <w:tcW w:w="4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40" w:type="dxa"/>
            <w:vAlign w:val="bottom"/>
          </w:tcPr>
          <w:p>
            <w:pPr>
              <w:jc w:val="right"/>
              <w:ind w:right="4581"/>
              <w:spacing w:after="0"/>
              <w:rPr>
                <w:sz w:val="20"/>
                <w:szCs w:val="20"/>
                <w:color w:val="auto"/>
              </w:rPr>
            </w:pPr>
            <w:r>
              <w:rPr>
                <w:rFonts w:ascii="Times New Roman" w:cs="Times New Roman" w:eastAsia="Times New Roman" w:hAnsi="Times New Roman"/>
                <w:sz w:val="20"/>
                <w:szCs w:val="20"/>
                <w:color w:val="auto"/>
                <w:w w:val="97"/>
              </w:rPr>
              <w:t>therewith</w:t>
            </w:r>
          </w:p>
        </w:tc>
      </w:tr>
      <w:tr>
        <w:trPr>
          <w:trHeight w:val="716"/>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United States Securities and Exchange Commission</w:t>
            </w:r>
          </w:p>
        </w:tc>
      </w:tr>
      <w:tr>
        <w:trPr>
          <w:trHeight w:val="540"/>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Supervisory Board Certificate</w:t>
            </w:r>
            <w:r>
              <w:rPr>
                <w:rFonts w:ascii="Times New Roman" w:cs="Times New Roman" w:eastAsia="Times New Roman" w:hAnsi="Times New Roman"/>
                <w:sz w:val="20"/>
                <w:szCs w:val="20"/>
                <w:color w:val="auto"/>
              </w:rPr>
              <w:t>"</w:t>
            </w: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supervisory board certificate recording the resolutions taken at the</w:t>
            </w:r>
          </w:p>
        </w:tc>
      </w:tr>
      <w:tr>
        <w:trPr>
          <w:trHeight w:val="270"/>
        </w:trPr>
        <w:tc>
          <w:tcPr>
            <w:tcW w:w="4920" w:type="dxa"/>
            <w:vAlign w:val="bottom"/>
          </w:tcPr>
          <w:p>
            <w:pPr>
              <w:spacing w:after="0"/>
              <w:rPr>
                <w:sz w:val="23"/>
                <w:szCs w:val="23"/>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supervisory board meeting of 25 March 2026.</w:t>
            </w:r>
          </w:p>
        </w:tc>
      </w:tr>
      <w:tr>
        <w:trPr>
          <w:trHeight w:val="892"/>
        </w:trPr>
        <w:tc>
          <w:tcPr>
            <w:tcW w:w="4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Supervisory Board Charter</w:t>
            </w:r>
            <w:r>
              <w:rPr>
                <w:rFonts w:ascii="Times New Roman" w:cs="Times New Roman" w:eastAsia="Times New Roman" w:hAnsi="Times New Roman"/>
                <w:sz w:val="20"/>
                <w:szCs w:val="20"/>
                <w:color w:val="auto"/>
              </w:rPr>
              <w:t>"</w:t>
            </w: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the supervisory board charter dated 30 December 2025, as available on the</w:t>
            </w:r>
          </w:p>
        </w:tc>
      </w:tr>
      <w:tr>
        <w:trPr>
          <w:trHeight w:val="270"/>
        </w:trPr>
        <w:tc>
          <w:tcPr>
            <w:tcW w:w="3880" w:type="dxa"/>
            <w:vAlign w:val="bottom"/>
          </w:tcPr>
          <w:p>
            <w:pPr>
              <w:spacing w:after="0"/>
              <w:rPr>
                <w:sz w:val="23"/>
                <w:szCs w:val="23"/>
                <w:color w:val="auto"/>
              </w:rPr>
            </w:pP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website of the Dutch Company on the date of this letter</w:t>
            </w:r>
          </w:p>
        </w:tc>
      </w:tr>
      <w:tr>
        <w:trPr>
          <w:trHeight w:val="540"/>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w:t>
            </w: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the warrant to purchase Warrant Shares subject to the terms and conditions</w:t>
            </w:r>
          </w:p>
        </w:tc>
      </w:tr>
      <w:tr>
        <w:trPr>
          <w:trHeight w:val="270"/>
        </w:trPr>
        <w:tc>
          <w:tcPr>
            <w:tcW w:w="3880" w:type="dxa"/>
            <w:vAlign w:val="bottom"/>
          </w:tcPr>
          <w:p>
            <w:pPr>
              <w:spacing w:after="0"/>
              <w:rPr>
                <w:sz w:val="23"/>
                <w:szCs w:val="23"/>
                <w:color w:val="auto"/>
              </w:rPr>
            </w:pP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of the Warrant Agreement</w:t>
            </w:r>
          </w:p>
        </w:tc>
      </w:tr>
      <w:tr>
        <w:trPr>
          <w:trHeight w:val="540"/>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 Agreement</w:t>
            </w:r>
            <w:r>
              <w:rPr>
                <w:rFonts w:ascii="Times New Roman" w:cs="Times New Roman" w:eastAsia="Times New Roman" w:hAnsi="Times New Roman"/>
                <w:sz w:val="20"/>
                <w:szCs w:val="20"/>
                <w:color w:val="auto"/>
              </w:rPr>
              <w:t>"</w:t>
            </w: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the warrant entered into between the Dutch Company and the Warrant</w:t>
            </w:r>
          </w:p>
        </w:tc>
      </w:tr>
      <w:tr>
        <w:trPr>
          <w:trHeight w:val="270"/>
        </w:trPr>
        <w:tc>
          <w:tcPr>
            <w:tcW w:w="3880" w:type="dxa"/>
            <w:vAlign w:val="bottom"/>
          </w:tcPr>
          <w:p>
            <w:pPr>
              <w:spacing w:after="0"/>
              <w:rPr>
                <w:sz w:val="23"/>
                <w:szCs w:val="23"/>
                <w:color w:val="auto"/>
              </w:rPr>
            </w:pP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Holder, dated 6 February 2026</w:t>
            </w:r>
          </w:p>
        </w:tc>
      </w:tr>
      <w:tr>
        <w:trPr>
          <w:trHeight w:val="540"/>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 Holder</w:t>
            </w:r>
            <w:r>
              <w:rPr>
                <w:rFonts w:ascii="Times New Roman" w:cs="Times New Roman" w:eastAsia="Times New Roman" w:hAnsi="Times New Roman"/>
                <w:sz w:val="20"/>
                <w:szCs w:val="20"/>
                <w:color w:val="auto"/>
              </w:rPr>
              <w:t>"</w:t>
            </w: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Amazon.com NV Investment Holdings LLC</w:t>
            </w:r>
          </w:p>
        </w:tc>
      </w:tr>
      <w:tr>
        <w:trPr>
          <w:trHeight w:val="540"/>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w:t>
            </w:r>
          </w:p>
        </w:tc>
        <w:tc>
          <w:tcPr>
            <w:tcW w:w="73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24,755,584 Ordinary Shares</w:t>
            </w:r>
          </w:p>
        </w:tc>
      </w:tr>
      <w:tr>
        <w:trPr>
          <w:trHeight w:val="3592"/>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82" w:name="page83"/>
    <w:bookmarkEnd w:id="82"/>
    <w:p>
      <w:pPr>
        <w:jc w:val="right"/>
        <w:ind w:right="43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250825</wp:posOffset>
            </wp:positionV>
            <wp:extent cx="113982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CORPORATE DOCUMENTS</w:t>
      </w:r>
    </w:p>
    <w:p>
      <w:pPr>
        <w:spacing w:after="0" w:line="314" w:lineRule="exact"/>
        <w:rPr>
          <w:sz w:val="20"/>
          <w:szCs w:val="20"/>
          <w:color w:val="auto"/>
        </w:rPr>
      </w:pPr>
    </w:p>
    <w:p>
      <w:pPr>
        <w:ind w:left="720" w:hanging="712"/>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Deed of Incorporation;</w:t>
      </w:r>
    </w:p>
    <w:p>
      <w:pPr>
        <w:spacing w:after="0" w:line="256" w:lineRule="exact"/>
        <w:rPr>
          <w:rFonts w:ascii="Times New Roman" w:cs="Times New Roman" w:eastAsia="Times New Roman" w:hAnsi="Times New Roman"/>
          <w:sz w:val="20"/>
          <w:szCs w:val="20"/>
          <w:color w:val="auto"/>
        </w:rPr>
      </w:pPr>
    </w:p>
    <w:p>
      <w:pPr>
        <w:ind w:left="720" w:hanging="712"/>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Deed of Conversion;</w:t>
      </w:r>
    </w:p>
    <w:p>
      <w:pPr>
        <w:spacing w:after="0" w:line="242" w:lineRule="exact"/>
        <w:rPr>
          <w:rFonts w:ascii="Times New Roman" w:cs="Times New Roman" w:eastAsia="Times New Roman" w:hAnsi="Times New Roman"/>
          <w:sz w:val="20"/>
          <w:szCs w:val="20"/>
          <w:color w:val="auto"/>
        </w:rPr>
      </w:pPr>
    </w:p>
    <w:p>
      <w:pPr>
        <w:ind w:left="720" w:hanging="712"/>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Articles;</w:t>
      </w:r>
    </w:p>
    <w:p>
      <w:pPr>
        <w:spacing w:after="0" w:line="24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Extract;</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Managing Board and Executive Committee Charter;</w:t>
      </w:r>
    </w:p>
    <w:p>
      <w:pPr>
        <w:spacing w:after="0" w:line="21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Supervisory Board Charter; and</w:t>
      </w:r>
    </w:p>
    <w:p>
      <w:pPr>
        <w:spacing w:after="0" w:line="21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Supervisory Board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2920365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83" w:name="page84"/>
    <w:bookmarkEnd w:id="83"/>
    <w:p>
      <w:pPr>
        <w:ind w:left="342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consent to the reference to our firm under the caption "Experts" in the Registration Statement (Form F-3) and related Prospectus of STMicroelectronics N.V. for the registration of 24,755,584 shares of its common stock and to the incorporation by reference therein of our reports dated February 26, 2026, with respect to the consolidated financial statements and financial statement schedule on page S-1 of STMicroelectronics N.V., and the effectiveness of internal control over financial reporting of STMicroelectronics N.V., included in its Annual Report (Form 20-F) for the year ended December 31, 2025,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AG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Lancy - Geneva, Switzerland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F-3ASR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STMicroelectronics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vMerge w:val="restart"/>
          </w:tcPr>
          <w:p>
            <w:pPr>
              <w:spacing w:after="0"/>
              <w:rPr>
                <w:sz w:val="12"/>
                <w:szCs w:val="12"/>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7"/>
          </w:tcPr>
          <w:p>
            <w:pPr>
              <w:ind w:left="1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24,755,584(2)</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31.95</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$ 790,940,908.80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$ 109,228.94</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190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$ 790,940,908.80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109,228.94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w w:val="97"/>
              </w:rPr>
              <w:t>Total Fees Previously Paid: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109,228.94</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457(o) solely for the purpose of calculating the amount of the registration fee on the basis of the average of the high and low prices for a share of the registrant’s ordinary shares as reported on the New York Stock Exchange on March 24, 2026.</w:t>
      </w:r>
    </w:p>
    <w:p>
      <w:pPr>
        <w:spacing w:after="0" w:line="161"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Represents ordinary shares of the registrant that may be offered for resale by the selling securityholder upon exercise of a warrant to purchase the registrant’s ordinary shares. Pursuant to Rule 416 under the Securities Act of 1933, as amended (the “Securities Act”), the ordinary shares being registered hereunder include such indeterminate number of ordinary shares as may be issuable with respect to the ordinary shares being registered hereunder as a result of any stock dividend, stock split, recapitalization or similar transaction.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lowerRoman"/>
      <w:start w:val="1"/>
    </w:lvl>
  </w:abstractNum>
  <w:abstractNum w:abstractNumId="8">
    <w:nsid w:val="8138641"/>
    <w:multiLevelType w:val="hybridMultilevel"/>
    <w:lvl w:ilvl="0">
      <w:lvlJc w:val="left"/>
      <w:lvlText w:val="(%1)"/>
      <w:numFmt w:val="lowerRoman"/>
      <w:start w:val="4"/>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Roman"/>
      <w:start w:val="1"/>
    </w:lvl>
  </w:abstractNum>
  <w:abstractNum w:abstractNumId="11">
    <w:nsid w:val="737B8DDC"/>
    <w:multiLevelType w:val="hybridMultilevel"/>
    <w:lvl w:ilvl="0">
      <w:lvlJc w:val="left"/>
      <w:lvlText w:val="(%1)"/>
      <w:numFmt w:val="lowerRoman"/>
      <w:start w:val="4"/>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lowerRoman"/>
      <w:start w:val="1"/>
    </w:lvl>
  </w:abstractNum>
  <w:abstractNum w:abstractNumId="14">
    <w:nsid w:val="4516DDE9"/>
    <w:multiLevelType w:val="hybridMultilevel"/>
    <w:lvl w:ilvl="0">
      <w:lvlJc w:val="left"/>
      <w:lvlText w:val="(%1)"/>
      <w:numFmt w:val="lowerRoman"/>
      <w:start w:val="1"/>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1)"/>
      <w:numFmt w:val="lowerRoman"/>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5">
    <w:nsid w:val="2463B9EA"/>
    <w:multiLevelType w:val="hybridMultilevel"/>
    <w:lvl w:ilvl="0">
      <w:lvlJc w:val="left"/>
      <w:lvlText w:val="(%1)"/>
      <w:numFmt w:val="decimal"/>
      <w:start w:val="2"/>
    </w:lvl>
    <w:lvl w:ilvl="1">
      <w:lvlJc w:val="left"/>
      <w:lvlText w:val="(%2)"/>
      <w:numFmt w:val="decimal"/>
      <w:start w:val="3"/>
    </w:lvl>
  </w:abstractNum>
  <w:abstractNum w:abstractNumId="26">
    <w:nsid w:val="5E884ADC"/>
    <w:multiLevelType w:val="hybridMultilevel"/>
    <w:lvl w:ilvl="0">
      <w:lvlJc w:val="left"/>
      <w:lvlText w:val="(%1)"/>
      <w:numFmt w:val="lowerRoman"/>
      <w:start w:val="1"/>
    </w:lvl>
  </w:abstractNum>
  <w:abstractNum w:abstractNumId="27">
    <w:nsid w:val="51EAD36B"/>
    <w:multiLevelType w:val="hybridMultilevel"/>
    <w:lvl w:ilvl="0">
      <w:lvlJc w:val="left"/>
      <w:lvlText w:val="(%1)"/>
      <w:numFmt w:val="decimal"/>
      <w:start w:val="6"/>
    </w:lvl>
  </w:abstractNum>
  <w:abstractNum w:abstractNumId="28">
    <w:nsid w:val="2D517796"/>
    <w:multiLevelType w:val="hybridMultilevel"/>
    <w:lvl w:ilvl="0">
      <w:lvlJc w:val="left"/>
      <w:lvlText w:val="%1"/>
      <w:numFmt w:val="upperLetter"/>
      <w:start w:val="1"/>
    </w:lvl>
    <w:lvl w:ilvl="1">
      <w:lvlJc w:val="left"/>
      <w:lvlText w:val="(%2)"/>
      <w:numFmt w:val="lowerRoman"/>
      <w:start w:val="1"/>
    </w:lvl>
  </w:abstractNum>
  <w:abstractNum w:abstractNumId="29">
    <w:nsid w:val="580BD78F"/>
    <w:multiLevelType w:val="hybridMultilevel"/>
    <w:lvl w:ilvl="0">
      <w:lvlJc w:val="left"/>
      <w:lvlText w:val="%1."/>
      <w:numFmt w:val="upperLetter"/>
      <w:start w:val="2"/>
    </w:lvl>
    <w:lvl w:ilvl="1">
      <w:lvlJc w:val="left"/>
      <w:lvlText w:val="%2"/>
      <w:numFmt w:val="lowerRoman"/>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lowerRoman"/>
      <w:start w:val="1"/>
    </w:lvl>
    <w:lvl w:ilvl="1">
      <w:lvlJc w:val="left"/>
      <w:lvlText w:val="%2."/>
      <w:numFmt w:val="decimal"/>
      <w:start w:val="1"/>
    </w:lvl>
  </w:abstractNum>
  <w:abstractNum w:abstractNumId="34">
    <w:nsid w:val="2A487CB0"/>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35">
    <w:nsid w:val="1D4ED43B"/>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lowerLetter"/>
      <w:start w:val="5"/>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7"/>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upperLetter"/>
      <w:start w:val="1"/>
    </w:lvl>
  </w:abstractNum>
  <w:abstractNum w:abstractNumId="46">
    <w:nsid w:val="684A481A"/>
    <w:multiLevelType w:val="hybridMultilevel"/>
    <w:lvl w:ilvl="0">
      <w:lvlJc w:val="left"/>
      <w:lvlText w:val="%1."/>
      <w:numFmt w:val="upperLetter"/>
      <w:start w:val="2"/>
    </w:lvl>
    <w:lvl w:ilvl="1">
      <w:lvlJc w:val="left"/>
      <w:lvlText w:val="%2."/>
      <w:numFmt w:val="lowerLetter"/>
      <w:start w:val="1"/>
    </w:lvl>
  </w:abstractNum>
  <w:abstractNum w:abstractNumId="47">
    <w:nsid w:val="579478FE"/>
    <w:multiLevelType w:val="hybridMultilevel"/>
    <w:lvl w:ilvl="0">
      <w:lvlJc w:val="left"/>
      <w:lvlText w:val="%1"/>
      <w:numFmt w:val="upperLetter"/>
      <w:start w:val="1"/>
    </w:lvl>
    <w:lvl w:ilvl="1">
      <w:lvlJc w:val="left"/>
      <w:lvlText w:val="%2."/>
      <w:numFmt w:val="lowerLetter"/>
      <w:start w:val="7"/>
    </w:lvl>
  </w:abstractNum>
  <w:abstractNum w:abstractNumId="48">
    <w:nsid w:val="749ABB43"/>
    <w:multiLevelType w:val="hybridMultilevel"/>
    <w:lvl w:ilvl="0">
      <w:lvlJc w:val="left"/>
      <w:lvlText w:val="%1."/>
      <w:numFmt w:val="upperLetter"/>
      <w:start w:val="5"/>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2026-03-25T16:51:42Z</dcterms:created>
  <dcterms:modified xsi:type="dcterms:W3CDTF">2026-03-25T16:51:42Z</dcterms:modified>
</cp:coreProperties>
</file>