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203835</wp:posOffset>
            </wp:positionH>
            <wp:positionV relativeFrom="page">
              <wp:posOffset>217170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248920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231F20"/>
        </w:rPr>
        <w:t>SECURITIES AND EXCHANGE COMMISSION</w:t>
      </w:r>
    </w:p>
    <w:p>
      <w:pPr>
        <w:spacing w:after="0" w:line="1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231F20"/>
        </w:rPr>
        <w:t>Washington, D.C. 20549</w:t>
      </w:r>
    </w:p>
    <w:p>
      <w:pPr>
        <w:spacing w:after="0" w:line="3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13" w:lineRule="exact"/>
        <w:rPr>
          <w:sz w:val="24"/>
          <w:szCs w:val="24"/>
          <w:color w:val="auto"/>
        </w:rPr>
      </w:pPr>
    </w:p>
    <w:p>
      <w:pPr>
        <w:jc w:val="center"/>
        <w:ind w:left="700" w:right="280"/>
        <w:spacing w:after="0" w:line="261" w:lineRule="auto"/>
        <w:rPr>
          <w:sz w:val="20"/>
          <w:szCs w:val="20"/>
          <w:color w:val="auto"/>
        </w:rPr>
      </w:pPr>
      <w:r>
        <w:rPr>
          <w:rFonts w:ascii="Times New Roman" w:cs="Times New Roman" w:eastAsia="Times New Roman" w:hAnsi="Times New Roman"/>
          <w:sz w:val="20"/>
          <w:szCs w:val="20"/>
          <w:b w:val="1"/>
          <w:bCs w:val="1"/>
          <w:color w:val="231F20"/>
        </w:rPr>
        <w:t>REPORT OF FOREIGN PRIVATE ISSUER PURSUANT TO RULE 13a-16 OR 15d-16 UNDER THE SECURITIES EXCHANGE ACT OF 1934</w:t>
      </w: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231F20"/>
        </w:rPr>
        <w:t>For the month of June, 2026</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231F20"/>
        </w:rPr>
        <w:t>Commission File Number: 1-13546</w:t>
      </w:r>
    </w:p>
    <w:p>
      <w:pPr>
        <w:spacing w:after="0" w:line="200" w:lineRule="exact"/>
        <w:rPr>
          <w:sz w:val="24"/>
          <w:szCs w:val="24"/>
          <w:color w:val="auto"/>
        </w:rPr>
      </w:pPr>
    </w:p>
    <w:p>
      <w:pPr>
        <w:spacing w:after="0" w:line="2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0"/>
          <w:szCs w:val="30"/>
          <w:b w:val="1"/>
          <w:bCs w:val="1"/>
          <w:color w:val="auto"/>
        </w:rPr>
        <w:t>STMicroelectronics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186055</wp:posOffset>
            </wp:positionV>
            <wp:extent cx="6419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985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color w:val="231F20"/>
        </w:rPr>
        <w:t>(Name of Registrant)</w:t>
      </w:r>
    </w:p>
    <w:p>
      <w:pPr>
        <w:spacing w:after="0" w:line="200" w:lineRule="exact"/>
        <w:rPr>
          <w:sz w:val="24"/>
          <w:szCs w:val="24"/>
          <w:color w:val="auto"/>
        </w:rPr>
      </w:pPr>
    </w:p>
    <w:p>
      <w:pPr>
        <w:spacing w:after="0" w:line="2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WTC Schiphol Airport</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Schiphol Boulevard 265</w:t>
      </w:r>
    </w:p>
    <w:p>
      <w:pPr>
        <w:jc w:val="center"/>
        <w:ind w:right="-219"/>
        <w:spacing w:after="0" w:line="235" w:lineRule="auto"/>
        <w:rPr>
          <w:sz w:val="20"/>
          <w:szCs w:val="20"/>
          <w:color w:val="auto"/>
        </w:rPr>
      </w:pPr>
      <w:r>
        <w:rPr>
          <w:rFonts w:ascii="Times New Roman" w:cs="Times New Roman" w:eastAsia="Times New Roman" w:hAnsi="Times New Roman"/>
          <w:sz w:val="19"/>
          <w:szCs w:val="19"/>
          <w:color w:val="auto"/>
        </w:rPr>
        <w:t>1118 BH Schiphol Airport</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158115</wp:posOffset>
            </wp:positionV>
            <wp:extent cx="6419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985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0" w:lineRule="exact"/>
        <w:rPr>
          <w:sz w:val="24"/>
          <w:szCs w:val="24"/>
          <w:color w:val="auto"/>
        </w:rPr>
      </w:pPr>
    </w:p>
    <w:p>
      <w:pPr>
        <w:ind w:left="4060"/>
        <w:spacing w:after="0" w:line="196" w:lineRule="exact"/>
        <w:tabs>
          <w:tab w:leader="none" w:pos="600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Enclosure: A press release dated June 16, 2026, announcing the pricing of STMicroelectronics' US$1.5 billion dual-tranche offering of New Convertible Bonds.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1167765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1191895</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780"/>
          </w:cols>
          <w:pgMar w:left="440" w:top="725" w:right="6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163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63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PR N°C3398C</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Not for release, publication or distribution directly or indirectly, in whole or in part, in or into the United States, Australia, Canada, Japan or South Africa or in any other jurisdiction in which offers or sales would be prohibited by applicable law.</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This announcement is not an offer to sell or a solicitation to buy securities in any jurisdiction, including the United States, Australia, Canada, Japan or South Africa. Neither this announcement nor anything contained herein shall form the basis of, or be relied upon in connection with, any offer or commitment whatsoever in any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STMicroelectronics prices a US$1.5 billion dual-tranche offering of New Convertible Bonds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Amsterdam, June 16 2026 - STMicroelectronics N.V. (the “Company” or “ST”) announces today the pricing of a US$1.5 billion offering of senior unsecured bonds convertible into new or existing ordinary shares of ST (the “Shares”) (the “New Convertible Bonds”).</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New Convertible Bonds will be issued in two tranches, one of US$750 million with a maturity of 5 years (the “2031 Convertible Bonds”) and one of US$750 million with a maturity of 7 years (the “2033 Convertible Bonds”). The terms of the New Convertible Bonds contain customary provisions which will allow the Company to satisfy conversion rights on the New Convertible Bonds with a combination of cash and Shares, or cash or Shares only including, unless the Company elects otherwise, by way of net share settlement. The offering proceeds, net of costs, will be used by ST for general corporate purposes, including the early redemption of the outstanding US$750 million Zero Coupon Convertible Bonds due 2027 (ISIN: XS2211997239) announced earlier today.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Offering of New Convertible Bonds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issue the dual-tranche New Convertible Bonds as follows:</w:t>
      </w:r>
    </w:p>
    <w:p>
      <w:pPr>
        <w:spacing w:after="0" w:line="161" w:lineRule="exact"/>
        <w:rPr>
          <w:sz w:val="20"/>
          <w:szCs w:val="20"/>
          <w:color w:val="auto"/>
        </w:rPr>
      </w:pPr>
    </w:p>
    <w:p>
      <w:pPr>
        <w:ind w:left="600" w:right="80" w:hanging="296"/>
        <w:spacing w:after="0" w:line="220" w:lineRule="auto"/>
        <w:tabs>
          <w:tab w:leader="none" w:pos="60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The 2031 Convertible Bonds will not bear interest, will be issued at 100% of their principal amount and will be redeemed at 100% of their principal amount on June 23</w:t>
      </w:r>
      <w:r>
        <w:rPr>
          <w:rFonts w:ascii="Arial" w:cs="Arial" w:eastAsia="Arial" w:hAnsi="Arial"/>
          <w:sz w:val="33"/>
          <w:szCs w:val="33"/>
          <w:color w:val="auto"/>
          <w:vertAlign w:val="superscript"/>
        </w:rPr>
        <w:t>rd</w:t>
      </w:r>
      <w:r>
        <w:rPr>
          <w:rFonts w:ascii="Arial" w:cs="Arial" w:eastAsia="Arial" w:hAnsi="Arial"/>
          <w:sz w:val="20"/>
          <w:szCs w:val="20"/>
          <w:color w:val="auto"/>
        </w:rPr>
        <w:t>, 2031, unless previously redeemed, converted or purchased and cancelled; and</w:t>
      </w:r>
    </w:p>
    <w:p>
      <w:pPr>
        <w:spacing w:after="0" w:line="139" w:lineRule="exact"/>
        <w:rPr>
          <w:rFonts w:ascii="Arial" w:cs="Arial" w:eastAsia="Arial" w:hAnsi="Arial"/>
          <w:sz w:val="20"/>
          <w:szCs w:val="20"/>
          <w:b w:val="1"/>
          <w:bCs w:val="1"/>
          <w:color w:val="auto"/>
        </w:rPr>
      </w:pPr>
    </w:p>
    <w:p>
      <w:pPr>
        <w:jc w:val="both"/>
        <w:ind w:left="600" w:hanging="296"/>
        <w:spacing w:after="0" w:line="269" w:lineRule="auto"/>
        <w:tabs>
          <w:tab w:leader="none" w:pos="60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The 2033 Convertible Bonds will bear interest at an annual rate of 0.625%, payable semi-annually in arrear. The 2033 Convertible Bonds will be issued at 100% of their principal amount and will be redeemed at 100% of their principal amount on June 23</w:t>
      </w:r>
      <w:r>
        <w:rPr>
          <w:rFonts w:ascii="Arial" w:cs="Arial" w:eastAsia="Arial" w:hAnsi="Arial"/>
          <w:sz w:val="33"/>
          <w:szCs w:val="33"/>
          <w:color w:val="auto"/>
          <w:vertAlign w:val="superscript"/>
        </w:rPr>
        <w:t>rd</w:t>
      </w:r>
      <w:r>
        <w:rPr>
          <w:rFonts w:ascii="Arial" w:cs="Arial" w:eastAsia="Arial" w:hAnsi="Arial"/>
          <w:sz w:val="20"/>
          <w:szCs w:val="20"/>
          <w:color w:val="auto"/>
        </w:rPr>
        <w:t>, 2033, unless previously redeemed, converted or purchased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332740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The initial conversion price for the New Convertible Bonds has been set:</w:t>
      </w:r>
    </w:p>
    <w:p>
      <w:pPr>
        <w:spacing w:after="0" w:line="174" w:lineRule="exact"/>
        <w:rPr>
          <w:sz w:val="20"/>
          <w:szCs w:val="20"/>
          <w:color w:val="auto"/>
        </w:rPr>
      </w:pPr>
    </w:p>
    <w:p>
      <w:pPr>
        <w:ind w:left="600" w:hanging="296"/>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relation to the 2031 Convertible Bonds, at US$ 119.9813, representing a premium of 55%; and</w:t>
      </w:r>
    </w:p>
    <w:p>
      <w:pPr>
        <w:spacing w:after="0" w:line="186" w:lineRule="exact"/>
        <w:rPr>
          <w:rFonts w:ascii="Arial" w:cs="Arial" w:eastAsia="Arial" w:hAnsi="Arial"/>
          <w:sz w:val="20"/>
          <w:szCs w:val="20"/>
          <w:b w:val="1"/>
          <w:bCs w:val="1"/>
          <w:color w:val="auto"/>
        </w:rPr>
      </w:pPr>
    </w:p>
    <w:p>
      <w:pPr>
        <w:ind w:left="600" w:hanging="296"/>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relation to the 2033 Convertible Bonds, at US$ 121.9165, representing a premium of 57.5%,</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in each case over the volume-weighted average price of a Share between opening of trading today and pricing of the offering on the Euronext Milan Market, organised and managed by Borsa Italiana S.p.A., converted into US dollars at the prevailing exchange rate at the time of pricing.</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Settlement of the New Convertible Bonds is expected to take place on or about June 23</w:t>
      </w:r>
      <w:r>
        <w:rPr>
          <w:rFonts w:ascii="Arial" w:cs="Arial" w:eastAsia="Arial" w:hAnsi="Arial"/>
          <w:sz w:val="33"/>
          <w:szCs w:val="33"/>
          <w:color w:val="auto"/>
          <w:vertAlign w:val="superscript"/>
        </w:rPr>
        <w:t>rd</w:t>
      </w:r>
      <w:r>
        <w:rPr>
          <w:rFonts w:ascii="Arial" w:cs="Arial" w:eastAsia="Arial" w:hAnsi="Arial"/>
          <w:sz w:val="20"/>
          <w:szCs w:val="20"/>
          <w:color w:val="auto"/>
        </w:rPr>
        <w:t>, 2026.</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Application will be made for the New Convertible Bonds to be admitted to trading on the Open Market (</w:t>
      </w:r>
      <w:r>
        <w:rPr>
          <w:rFonts w:ascii="Arial" w:cs="Arial" w:eastAsia="Arial" w:hAnsi="Arial"/>
          <w:sz w:val="20"/>
          <w:szCs w:val="20"/>
          <w:i w:val="1"/>
          <w:iCs w:val="1"/>
          <w:color w:val="auto"/>
        </w:rPr>
        <w:t>Freiverkehr</w:t>
      </w:r>
      <w:r>
        <w:rPr>
          <w:rFonts w:ascii="Arial" w:cs="Arial" w:eastAsia="Arial" w:hAnsi="Arial"/>
          <w:sz w:val="20"/>
          <w:szCs w:val="20"/>
          <w:color w:val="auto"/>
        </w:rPr>
        <w:t>) segment of the Frankfurt Stock Exchange within 90 days of settlement.</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the context of the offering of the New Convertible Bonds, the Company has committed to a lock-up period from (and including) the pricing date to (and including) 90 days after closing in respect of the Shares and related securities.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issuance of the New Convertible Bonds has been approved by the managing board and the supervisory board of the Company.</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BNP PARIBAS and J.P. Morgan acted as Joint Global Coordinators and Joint Bookrunners and Citigroup, Goldman Sachs Bank Europe SE, Intesa Sanpaolo, Morgan Stanley Europe SE, Natixis, Société Générale and UniCredit acted as Joint Bookrunners in respect of the offering.</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STMicroelectronics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 w:cs="Arial" w:eastAsia="Arial" w:hAnsi="Arial"/>
          <w:sz w:val="20"/>
          <w:szCs w:val="20"/>
          <w:u w:val="single" w:color="auto"/>
          <w:color w:val="0000FF"/>
        </w:rPr>
        <w:t>www.st.com</w:t>
      </w:r>
      <w:r>
        <w:rPr>
          <w:rFonts w:ascii="Arial" w:cs="Arial" w:eastAsia="Arial" w:hAnsi="Arial"/>
          <w:sz w:val="20"/>
          <w:szCs w:val="20"/>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Issuer’s LEI: 213800Z8NOHIKRI42W10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For further information, please contact: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Jérôme Ramel</w:t>
      </w:r>
    </w:p>
    <w:p>
      <w:pPr>
        <w:spacing w:after="0" w:line="237" w:lineRule="auto"/>
        <w:rPr>
          <w:sz w:val="20"/>
          <w:szCs w:val="20"/>
          <w:color w:val="auto"/>
        </w:rPr>
      </w:pPr>
      <w:r>
        <w:rPr>
          <w:rFonts w:ascii="Arial" w:cs="Arial" w:eastAsia="Arial" w:hAnsi="Arial"/>
          <w:sz w:val="20"/>
          <w:szCs w:val="20"/>
          <w:color w:val="auto"/>
        </w:rPr>
        <w:t>EVP Corporate Development &amp;</w:t>
      </w:r>
    </w:p>
    <w:p>
      <w:pPr>
        <w:spacing w:after="0" w:line="237" w:lineRule="auto"/>
        <w:rPr>
          <w:sz w:val="20"/>
          <w:szCs w:val="20"/>
          <w:color w:val="auto"/>
        </w:rPr>
      </w:pPr>
      <w:r>
        <w:rPr>
          <w:rFonts w:ascii="Arial" w:cs="Arial" w:eastAsia="Arial" w:hAnsi="Arial"/>
          <w:sz w:val="20"/>
          <w:szCs w:val="20"/>
          <w:color w:val="auto"/>
        </w:rPr>
        <w:t>Integrated External Communication</w:t>
      </w:r>
    </w:p>
    <w:p>
      <w:pPr>
        <w:spacing w:after="0" w:line="237" w:lineRule="auto"/>
        <w:rPr>
          <w:sz w:val="20"/>
          <w:szCs w:val="20"/>
          <w:color w:val="auto"/>
        </w:rPr>
      </w:pPr>
      <w:r>
        <w:rPr>
          <w:rFonts w:ascii="Arial" w:cs="Arial" w:eastAsia="Arial" w:hAnsi="Arial"/>
          <w:sz w:val="20"/>
          <w:szCs w:val="20"/>
          <w:color w:val="auto"/>
        </w:rPr>
        <w:t>Tel: +41 22 929 59 20</w:t>
      </w:r>
    </w:p>
    <w:p>
      <w:pPr>
        <w:spacing w:after="0"/>
        <w:rPr>
          <w:sz w:val="20"/>
          <w:szCs w:val="20"/>
          <w:color w:val="auto"/>
        </w:rPr>
      </w:pPr>
      <w:r>
        <w:rPr>
          <w:rFonts w:ascii="Arial" w:cs="Arial" w:eastAsia="Arial" w:hAnsi="Arial"/>
          <w:sz w:val="20"/>
          <w:szCs w:val="20"/>
          <w:u w:val="single" w:color="auto"/>
          <w:color w:val="0000FF"/>
        </w:rPr>
        <w:t>jerome.ramel@st.com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Alexis Breton</w:t>
      </w:r>
    </w:p>
    <w:p>
      <w:pPr>
        <w:spacing w:after="0" w:line="237" w:lineRule="auto"/>
        <w:rPr>
          <w:sz w:val="20"/>
          <w:szCs w:val="20"/>
          <w:color w:val="auto"/>
        </w:rPr>
      </w:pPr>
      <w:r>
        <w:rPr>
          <w:rFonts w:ascii="Arial" w:cs="Arial" w:eastAsia="Arial" w:hAnsi="Arial"/>
          <w:sz w:val="20"/>
          <w:szCs w:val="20"/>
          <w:color w:val="auto"/>
        </w:rPr>
        <w:t>Corporate External Communications</w:t>
      </w:r>
    </w:p>
    <w:p>
      <w:pPr>
        <w:spacing w:after="0" w:line="237" w:lineRule="auto"/>
        <w:rPr>
          <w:sz w:val="20"/>
          <w:szCs w:val="20"/>
          <w:color w:val="auto"/>
        </w:rPr>
      </w:pPr>
      <w:r>
        <w:rPr>
          <w:rFonts w:ascii="Arial" w:cs="Arial" w:eastAsia="Arial" w:hAnsi="Arial"/>
          <w:sz w:val="20"/>
          <w:szCs w:val="20"/>
          <w:color w:val="auto"/>
        </w:rPr>
        <w:t>Tel: + 33 6 59 16 79 08</w:t>
      </w:r>
    </w:p>
    <w:p>
      <w:pPr>
        <w:spacing w:after="0"/>
        <w:rPr>
          <w:sz w:val="20"/>
          <w:szCs w:val="20"/>
          <w:color w:val="auto"/>
        </w:rPr>
      </w:pPr>
      <w:r>
        <w:rPr>
          <w:rFonts w:ascii="Arial" w:cs="Arial" w:eastAsia="Arial" w:hAnsi="Arial"/>
          <w:sz w:val="20"/>
          <w:szCs w:val="20"/>
          <w:u w:val="single" w:color="auto"/>
          <w:color w:val="0000FF"/>
        </w:rPr>
        <w:t>alexis.breton@st.com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 information</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This press release relates to the disclosure of information that qualified, or may have qualified, as inside information within the meaning of Article 7(1) of the Market Abuse Regulation (EU) 596/2014 (“MAR”).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IN RELATION TO THE BONDS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7"/>
          <w:szCs w:val="17"/>
          <w:color w:val="auto"/>
        </w:rPr>
        <w:t>NO ACTION HAS BEEN TAKEN BY THE ISSUER, THE JOINT BOOKRUNNERS OR ANY OF THEIR RESPECTIVE AFFILIATES THAT WOULD PERMIT AN OFFERING OF THE BONDS OR POSSESSION OR DISTRIBUTION OF THIS PRESS RELEASE OR ANY OFFERING OR PUBLICITY MATERIAL RELATING TO THE BONDS IN ANY JURISDICTION WHERE ACTION FOR THAT PURPOSE IS REQUIRED. PERSONS INTO WHOSE POSSESSION THIS PRESS RELEASE COMES ARE REQUIRED BY THE ISSUER AND THE JOINT BOOKRUNNERS TO INFORM THEMSELVES ABOUT, AND TO OBSERVE, ANY SUCH RESTRICTIONS.</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THIS PRESS RELEASE IS NOT FOR DISTRIBUTION, DIRECTLY OR INDIRECTLY IN OR INTO THE UNITED STATES OR TO U.S. PERSONS (AS DEFINED IN REGULATION S UNDER THE U.S. SECURITIES ACT OF 1933, AS AMENDED) (THE “U.S. SECURITIES ACT”). THIS PRESS RELEASE IS NOT AN OFFER TO SELL SECURITIES OR THE SOLICITATION OF ANY OFFER TO BUY SECURITIES, NOR SHALL THERE BE ANY OFFER OF SECURITIES IN ANY JURISDICTION IN WHICH SUCH OFFER OR SALE WOULD BE UNLAWFUL.</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BONDS AND THE SHARES TO BE DELIVERED UPON CONVERSION OF THE BONDS AND NOTIONALLY UNDERLYING THE BONDS HAVE NOT BEEN AND WILL NOT BE REGISTERED UNDER THE U.S. SECURITIES ACT AND MAY NOT BE OFFERED, SOLD OR DELIVERED WITHIN THE UNITED STATES OR TO, OR FOR THE ACCOUNT OR BENEFIT OF, U.S. PERSONS (AS SUCH TERMS ARE DEFINED IN REGULATION S UNDER THE U.S. SECURITIES ACT) ABSENT REGISTRATION OR AN EXEMPTION FROM THE APPLICABLE REGISTRATION REQUIREMENTS UNDER THE U.S. SECURITIES ACT. THERE WILL BE NO PUBLIC OFFER OF THE BONDS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4" w:name="page5"/>
    <w:bookmarkEnd w:id="4"/>
    <w:p>
      <w:pPr>
        <w:jc w:val="both"/>
        <w:spacing w:after="0" w:line="252" w:lineRule="auto"/>
        <w:rPr>
          <w:sz w:val="20"/>
          <w:szCs w:val="20"/>
          <w:color w:val="auto"/>
        </w:rPr>
      </w:pPr>
      <w:r>
        <w:rPr>
          <w:rFonts w:ascii="Arial" w:cs="Arial" w:eastAsia="Arial" w:hAnsi="Arial"/>
          <w:sz w:val="16"/>
          <w:szCs w:val="16"/>
          <w:color w:val="auto"/>
        </w:rPr>
        <w:t>THE OFFERING WHEN MADE, ANY OFFERING DOCUMENTATION RELATING TO THE OFFERING AND THIS PRESS RELEASE ARE ONLY ADDRESSED TO, AND DIRECTED IN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MEMBER STATES OF THE EUROPEAN ECONOMIC AREA (THE “</w:t>
      </w:r>
      <w:r>
        <w:rPr>
          <w:rFonts w:ascii="Arial" w:cs="Arial" w:eastAsia="Arial" w:hAnsi="Arial"/>
          <w:sz w:val="16"/>
          <w:szCs w:val="16"/>
          <w:b w:val="1"/>
          <w:bCs w:val="1"/>
          <w:color w:val="auto"/>
        </w:rPr>
        <w:t>EEA</w:t>
      </w:r>
      <w:r>
        <w:rPr>
          <w:rFonts w:ascii="Arial" w:cs="Arial" w:eastAsia="Arial" w:hAnsi="Arial"/>
          <w:sz w:val="16"/>
          <w:szCs w:val="16"/>
          <w:color w:val="auto"/>
        </w:rPr>
        <w:t>”) AT PERSONS WHO ARE “QUALIFIED INVESTORS” WITHIN THE MEANING OF THE PROSPECTUS REGULATION IN RESPECT OF EACH MEMBER STATE OF THE EEA, AND THE POATRs IN RESPECT OF THE UNITED KINGDOM, RESPECTIVELY (“</w:t>
      </w:r>
      <w:r>
        <w:rPr>
          <w:rFonts w:ascii="Arial" w:cs="Arial" w:eastAsia="Arial" w:hAnsi="Arial"/>
          <w:sz w:val="16"/>
          <w:szCs w:val="16"/>
          <w:b w:val="1"/>
          <w:bCs w:val="1"/>
          <w:color w:val="auto"/>
        </w:rPr>
        <w:t>QUALIFIED INVESTORS</w:t>
      </w:r>
      <w:r>
        <w:rPr>
          <w:rFonts w:ascii="Arial" w:cs="Arial" w:eastAsia="Arial" w:hAnsi="Arial"/>
          <w:sz w:val="16"/>
          <w:szCs w:val="16"/>
          <w:color w:val="auto"/>
        </w:rPr>
        <w: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HAVE BEEN PREPARED ON THE BASIS THAT (I) ANY OFFER OF NEW CONVERTIBLE BONDS IN ANY MEMBER STATE OF THE EEA WILL BE MADE PURSUANT TO AN EXEMPTION UNDER THE PROSPECTUS REGULATION FROM THE REQUIREMENT TO PUBLISH A PROSPECTUS FOR OFFERS OF BONDS AND (II) ANY OFFER OF NEW CONVERTIBLE BONDS IN THE UK WILL BE MADE PURSUANT TO AN EXEMPTION UNDER THE POATRs FROM THE REQUIREMENT TO PUBLISH A PROSPECTUS FOR OFFERS OF BONDS. THE EXPRESSION “</w:t>
      </w:r>
      <w:r>
        <w:rPr>
          <w:rFonts w:ascii="Arial" w:cs="Arial" w:eastAsia="Arial" w:hAnsi="Arial"/>
          <w:sz w:val="17"/>
          <w:szCs w:val="17"/>
          <w:b w:val="1"/>
          <w:bCs w:val="1"/>
          <w:color w:val="auto"/>
        </w:rPr>
        <w:t>PROSPECTUS REGULATION</w:t>
      </w:r>
      <w:r>
        <w:rPr>
          <w:rFonts w:ascii="Arial" w:cs="Arial" w:eastAsia="Arial" w:hAnsi="Arial"/>
          <w:sz w:val="17"/>
          <w:szCs w:val="17"/>
          <w:color w:val="auto"/>
        </w:rPr>
        <w:t>” MEANS REGULATION (EU) 2017/1129 (AS AMENDED OR SUPERSEDED) AND THE EXPRESSION “</w:t>
      </w:r>
      <w:r>
        <w:rPr>
          <w:rFonts w:ascii="Arial" w:cs="Arial" w:eastAsia="Arial" w:hAnsi="Arial"/>
          <w:sz w:val="17"/>
          <w:szCs w:val="17"/>
          <w:b w:val="1"/>
          <w:bCs w:val="1"/>
          <w:color w:val="auto"/>
        </w:rPr>
        <w:t>POATRs</w:t>
      </w:r>
      <w:r>
        <w:rPr>
          <w:rFonts w:ascii="Arial" w:cs="Arial" w:eastAsia="Arial" w:hAnsi="Arial"/>
          <w:sz w:val="17"/>
          <w:szCs w:val="17"/>
          <w:color w:val="auto"/>
        </w:rPr>
        <w:t>” MEANS THE PUBLIC OFFERS AND ADMISSIONS TO TRADING REGULATIONS 2024.</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SOLELY FOR THE PURPOSES OF THE PRODUCT GOVERNANCE REQUIREMENTS CONTAINED WITHIN: (A) EU DIRECTIVE 2014/65/EU ON MARKETS IN FINANCIAL INSTRUMENTS, AS AMENDED (“</w:t>
      </w:r>
      <w:r>
        <w:rPr>
          <w:rFonts w:ascii="Arial" w:cs="Arial" w:eastAsia="Arial" w:hAnsi="Arial"/>
          <w:sz w:val="16"/>
          <w:szCs w:val="16"/>
          <w:b w:val="1"/>
          <w:bCs w:val="1"/>
          <w:color w:val="auto"/>
        </w:rPr>
        <w:t>MIFID II</w:t>
      </w:r>
      <w:r>
        <w:rPr>
          <w:rFonts w:ascii="Arial" w:cs="Arial" w:eastAsia="Arial" w:hAnsi="Arial"/>
          <w:sz w:val="16"/>
          <w:szCs w:val="16"/>
          <w:color w:val="auto"/>
        </w:rPr>
        <w:t>”); (B) ARTICLES 9 AND 10 OF COMMISSION DELEGATED DIRECTIVE (EU) 2017/593 SUPPLEMENTING MIFID II; (C) LOCAL IMPLEMENTING MEASURES IN THE EEA; (D) REGULATION (EU) NO 600/2014 AS IT FORMS PART OF UNITED KINGDOM DOMESTIC LAW BY VIRTUE OF THE EUROPEAN UNION (WITHDRAWAL) ACT 2018 (“</w:t>
      </w:r>
      <w:r>
        <w:rPr>
          <w:rFonts w:ascii="Arial" w:cs="Arial" w:eastAsia="Arial" w:hAnsi="Arial"/>
          <w:sz w:val="16"/>
          <w:szCs w:val="16"/>
          <w:b w:val="1"/>
          <w:bCs w:val="1"/>
          <w:color w:val="auto"/>
        </w:rPr>
        <w:t>EUWA</w:t>
      </w:r>
      <w:r>
        <w:rPr>
          <w:rFonts w:ascii="Arial" w:cs="Arial" w:eastAsia="Arial" w:hAnsi="Arial"/>
          <w:sz w:val="16"/>
          <w:szCs w:val="16"/>
          <w:color w:val="auto"/>
        </w:rPr>
        <w:t>”) (“</w:t>
      </w:r>
      <w:r>
        <w:rPr>
          <w:rFonts w:ascii="Arial" w:cs="Arial" w:eastAsia="Arial" w:hAnsi="Arial"/>
          <w:sz w:val="16"/>
          <w:szCs w:val="16"/>
          <w:b w:val="1"/>
          <w:bCs w:val="1"/>
          <w:color w:val="auto"/>
        </w:rPr>
        <w:t>UK MIFIR</w:t>
      </w:r>
      <w:r>
        <w:rPr>
          <w:rFonts w:ascii="Arial" w:cs="Arial" w:eastAsia="Arial" w:hAnsi="Arial"/>
          <w:sz w:val="16"/>
          <w:szCs w:val="16"/>
          <w:color w:val="auto"/>
        </w:rPr>
        <w:t>”); AND</w:t>
      </w:r>
    </w:p>
    <w:p>
      <w:pPr>
        <w:spacing w:after="0" w:line="1" w:lineRule="exact"/>
        <w:rPr>
          <w:sz w:val="20"/>
          <w:szCs w:val="20"/>
          <w:color w:val="auto"/>
        </w:rPr>
      </w:pPr>
    </w:p>
    <w:p>
      <w:pPr>
        <w:jc w:val="both"/>
        <w:ind w:firstLine="1"/>
        <w:spacing w:after="0" w:line="234" w:lineRule="auto"/>
        <w:tabs>
          <w:tab w:leader="none" w:pos="3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FCA HANDBOOK PRODUCT INTERVENTION AND PRODUCT GOVERNANCE SOURCEBOOK (TOGETHER, THE “</w:t>
      </w:r>
      <w:r>
        <w:rPr>
          <w:rFonts w:ascii="Arial" w:cs="Arial" w:eastAsia="Arial" w:hAnsi="Arial"/>
          <w:sz w:val="17"/>
          <w:szCs w:val="17"/>
          <w:b w:val="1"/>
          <w:bCs w:val="1"/>
          <w:color w:val="auto"/>
        </w:rPr>
        <w:t>PRODUCT</w:t>
      </w:r>
      <w:r>
        <w:rPr>
          <w:rFonts w:ascii="Arial" w:cs="Arial" w:eastAsia="Arial" w:hAnsi="Arial"/>
          <w:sz w:val="17"/>
          <w:szCs w:val="17"/>
          <w:color w:val="auto"/>
        </w:rPr>
        <w:t xml:space="preserve"> </w:t>
      </w:r>
      <w:r>
        <w:rPr>
          <w:rFonts w:ascii="Arial" w:cs="Arial" w:eastAsia="Arial" w:hAnsi="Arial"/>
          <w:sz w:val="17"/>
          <w:szCs w:val="17"/>
          <w:b w:val="1"/>
          <w:bCs w:val="1"/>
          <w:color w:val="auto"/>
        </w:rPr>
        <w:t>GOVERNANCE REQUIREMENTS</w:t>
      </w:r>
      <w:r>
        <w:rPr>
          <w:rFonts w:ascii="Arial" w:cs="Arial" w:eastAsia="Arial" w:hAnsi="Arial"/>
          <w:sz w:val="17"/>
          <w:szCs w:val="17"/>
          <w:color w:val="auto"/>
        </w:rPr>
        <w:t>”), AND DISCLAIMING ALL AND ANY LIABILITY, WHETHER ARISING IN TORT, CONTRACT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WHICH ANY “MANUFACTURER” (FOR THE PURPOSES OF THE RELEVANT PRODUCT GOVERNANCE REQUIREMENTS) MAY OTHERWISE HAVE WITH RESPECT THERETO, THE BONDS HAVE BEEN SUBJECT TO A PRODUCT APPROVAL PROCESS, WHICH HAS DETERMINED THAT: (I) THE TARGET MARKET FOR THE BONDS IS (A) IN THE EEA, ELIGIBLE COUNTERPARTIES AND PROFESSIONAL CLIENTS ONLY, EACH AS DEFINED IN MIFID II AND (B) IN THE UNITED KINGDOM, ELIGIBLE COUNTERPARTIES (AS DEFINED IN THE FCA HANDBOOK CONDUCT OF BUSINESS SOURCEBOOK) AND PROFESSIONAL CLIENTS (AS DEFINED IN UK MIFIR); AND/OR (II) ALL CHANNELS FOR DISTRIBUTION OF THE BONDS TO ELIGIBLE COUNTERPARTIES AND PROFESSIONAL CLIENTS ARE APPROPRIATE AS PERMITTED BY MIFID II (THE “</w:t>
      </w:r>
      <w:r>
        <w:rPr>
          <w:rFonts w:ascii="Arial" w:cs="Arial" w:eastAsia="Arial" w:hAnsi="Arial"/>
          <w:sz w:val="17"/>
          <w:szCs w:val="17"/>
          <w:b w:val="1"/>
          <w:bCs w:val="1"/>
          <w:color w:val="auto"/>
        </w:rPr>
        <w:t>TARGET MARKET ASSESSMENT</w:t>
      </w:r>
      <w:r>
        <w:rPr>
          <w:rFonts w:ascii="Arial" w:cs="Arial" w:eastAsia="Arial" w:hAnsi="Arial"/>
          <w:sz w:val="17"/>
          <w:szCs w:val="17"/>
          <w:color w:val="auto"/>
        </w:rPr>
        <w:t>”). ANY PERSON SUBSEQUENTLY OFFERING, SELLING OR RECOMMENDING THE BONDS (A ”</w:t>
      </w:r>
      <w:r>
        <w:rPr>
          <w:rFonts w:ascii="Arial" w:cs="Arial" w:eastAsia="Arial" w:hAnsi="Arial"/>
          <w:sz w:val="17"/>
          <w:szCs w:val="17"/>
          <w:b w:val="1"/>
          <w:bCs w:val="1"/>
          <w:color w:val="auto"/>
        </w:rPr>
        <w:t>DISTRIBUTOR</w:t>
      </w:r>
      <w:r>
        <w:rPr>
          <w:rFonts w:ascii="Arial" w:cs="Arial" w:eastAsia="Arial" w:hAnsi="Arial"/>
          <w:sz w:val="17"/>
          <w:szCs w:val="17"/>
          <w:color w:val="auto"/>
        </w:rPr>
        <w:t>”) SHOULD TAKE INTO CONSIDERATION THE MANUFACTURERS’ TARGET MARKET ASSESSMENT; HOWEVER, A DISTRIBUTOR SUBJECT TO THE RELEVANT PRODUCT GOVERNANCE REQUIREMENTS IS RESPONSIBLE FOR UNDERTAKING ITS OWN TARGET MARKET ASSESSMENT IN RESPECT OF THE BONDS (BY EITHER ADOPTING OR REFINING THE MANUFACTURERS’ TARGET MARKET ASSESSMENT) AND DETERMINING APPROPRIATE DISTRIBUTION CHANNELS.</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TARGET MARKET ASSESSMENT IS WITHOUT PREJUDICE TO THE REQUIREMENTS OF ANY CONTRACTUAL OR LEGAL SELLING RESTRICTIONS IN RELATION TO ANY OFFERING OF THE BONDS.</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 THE AVOIDANCE OF DOUBT, THE TARGET MARKET ASSESSMENT DOES NOT CONSTITUTE: (A) AN ASSESSMENT OF SUITABILITY OR APPROPRIATENESS FOR THE PURPOSES OF MIFID II OR UK MIFIR; OR (B) A RECOMMENDATION TO ANY INVESTOR OR GROUP OF INVESTORS TO INVEST IN, OR PURCHASE, OR TAKE ANY OTHER ACTION WHATSOEVER WITH RESPECT TO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7"/>
          <w:szCs w:val="17"/>
          <w:color w:val="auto"/>
        </w:rPr>
        <w:t>THE BONDS ARE NOT INTENDED TO BE OFFERED, SOLD OR OTHERWISE MADE AVAILABLE TO AND SHOULD NOT BE OFFERED, SOLD OR OTHERWISE MADE AVAILABLE TO ANY RETAIL INVESTOR IN THE EEA OR THE UNITED KINGDOM. FOR THESE PURPOSES, A RETAIL INVESTOR (A) IN THE EEA, MEANS A PERSON WHO IS ONE (OR MORE) OF: (I) A RETAIL CLIENT AS DEFINED IN POINT (11) OF ARTICLE 4(1) OF MIFID II; OR (II) A CUSTOMER WITHIN THE MEANING OF DIRECTIVE (EU) 2016/97 (AS AMENDED), WHERE THAT CUSTOMER WOULD NOT QUALIFY AS A PROFESSIONAL CLIENT AS DEFINED IN POINT (10) OF ARTICLE 4(1) OF MIFID II AND (B) IN THE UK, MEANS A PERSON WHO IS NOT A PROFESSIONAL CLIENT, AS DEFINED IN POINT (8) OF ARTICLE 2(1) OF REGULATION (EU) NO 600/2014 AS IT FORMS PART OF DOMESTIC LAW BY VIRTUE OF THE EUWA.</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CONSEQUENTLY, (I) NO KEY INFORMATION DOCUMENT REQUIRED BY REGULATION (EU) NO 1286/2014, AS AMENDED (THE “</w:t>
      </w:r>
      <w:r>
        <w:rPr>
          <w:rFonts w:ascii="Arial" w:cs="Arial" w:eastAsia="Arial" w:hAnsi="Arial"/>
          <w:sz w:val="16"/>
          <w:szCs w:val="16"/>
          <w:b w:val="1"/>
          <w:bCs w:val="1"/>
          <w:color w:val="auto"/>
        </w:rPr>
        <w:t>PRIIPS</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w:t>
      </w:r>
      <w:r>
        <w:rPr>
          <w:rFonts w:ascii="Arial" w:cs="Arial" w:eastAsia="Arial" w:hAnsi="Arial"/>
          <w:sz w:val="16"/>
          <w:szCs w:val="16"/>
          <w:color w:val="auto"/>
        </w:rPr>
        <w:t>”) FOR OFFERING OR SELLING THE BONDS OR OTHERWISE MAKING THEM AVAILABLE TO RETAIL INVESTORS IN THE EEA</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PREPARED AND THEREFORE OFFERING OR SELLING THE BONDS OR OTHERWISE MAKING THEM AVAILABLE TO ANY RETAIL INVESTOR IN THE EEA MAY BE UNLAWFUL UNDER THE PRIIPS REGULATION AND (II) NO DISCLOSURE DOCUMENT REQUIRED BY THE FCA PRODUCT DISCLOSURE SOURCEBOOK (“</w:t>
      </w:r>
      <w:r>
        <w:rPr>
          <w:rFonts w:ascii="Arial" w:cs="Arial" w:eastAsia="Arial" w:hAnsi="Arial"/>
          <w:sz w:val="16"/>
          <w:szCs w:val="16"/>
          <w:b w:val="1"/>
          <w:bCs w:val="1"/>
          <w:color w:val="auto"/>
        </w:rPr>
        <w:t>DISC</w:t>
      </w:r>
      <w:r>
        <w:rPr>
          <w:rFonts w:ascii="Arial" w:cs="Arial" w:eastAsia="Arial" w:hAnsi="Arial"/>
          <w:sz w:val="16"/>
          <w:szCs w:val="16"/>
          <w:color w:val="auto"/>
        </w:rPr>
        <w:t>”) FOR OFFERING, SELLING OR DISTRIBUTING THE BONDS OR OTHERWISE MAKING THEM AVAILABLE TO RETAIL INVESTORS IN THE UNITED KINGDOM HAS BEEN PREPARED AND THEREFORE OFFERING, SELLING OR DISTRIBUTING THE BONDS OR OTHERWISE MAKING THEM AVAILABLE TO ANY RETAIL INVESTOR IN THE UNITED KINGDOM MAY BE UNLAWFUL UNDER DISC AND THE CONSUMER COMPOSITE INVESTMENTS (DESIGNATED ACTIVITIES) REGULATIONS 2024.</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THIS PRESS RELEASE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w:t>
      </w:r>
    </w:p>
    <w:p>
      <w:pPr>
        <w:spacing w:after="0" w:line="2" w:lineRule="exact"/>
        <w:rPr>
          <w:sz w:val="20"/>
          <w:szCs w:val="20"/>
          <w:color w:val="auto"/>
        </w:rPr>
      </w:pPr>
    </w:p>
    <w:p>
      <w:pPr>
        <w:jc w:val="both"/>
        <w:ind w:firstLine="1"/>
        <w:spacing w:after="0" w:line="235" w:lineRule="auto"/>
        <w:tabs>
          <w:tab w:leader="none" w:pos="333"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w:t>
      </w:r>
      <w:r>
        <w:rPr>
          <w:rFonts w:ascii="Arial" w:cs="Arial" w:eastAsia="Arial" w:hAnsi="Arial"/>
          <w:sz w:val="17"/>
          <w:szCs w:val="17"/>
          <w:b w:val="1"/>
          <w:bCs w:val="1"/>
          <w:color w:val="auto"/>
        </w:rPr>
        <w:t>RELEVANT PERSONS</w:t>
      </w:r>
      <w:r>
        <w:rPr>
          <w:rFonts w:ascii="Arial" w:cs="Arial" w:eastAsia="Arial" w:hAnsi="Arial"/>
          <w:sz w:val="17"/>
          <w:szCs w:val="17"/>
          <w:color w:val="auto"/>
        </w:rPr>
        <w:t>”). THIS PRESS RELEASE IS DIRECTED ONLY AT RELEVANT PERSONS AND MUST NOT BE ACTED ON OR RELIED ON BY PERSONS WHO ARE NOT RELEVANT PERSONS. ANY INVESTMENT OR INVESTMENT ACTIVITY TO WHICH THIS PRESS RELEASE RELATES IS AVAILABLE ONLY TO RELEVANT PERSONS AND WILL BE ENGAGED IN ONLY WITH RELEVANT PERSONS.</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7"/>
          <w:szCs w:val="17"/>
          <w:color w:val="auto"/>
        </w:rPr>
        <w:t>ANY DECISION TO PURCHASE ANY OF THE BONDS SHOULD ONLY BE MADE ON THE BASIS OF AN INDEPENDENT REVIEW BY A PROSPECTIVE INVESTOR OF THE ISSUER’S PUBLICLY AVAILABLE INFORMATION. NEITHER THE JOINT BOOKRUNNERS NOR ANY OF THEIR RESPECTIVE AFFILIATES ACCEPT ANY LIABILITY ARISING FROM THE USE OF, OR MAKE ANY REPRESENTATION AS TO THE ACCURACY OR COMPLETENESS OF, THIS PRESS RELEASE OR THE ISSUER’S PUBLICLY AVAILABLE INFORMATION. THE INFORMATION CONTAINED IN THIS PRESS RELEASE IS SUBJECT TO CHANGE IN ITS ENTIRETY WITHOUT NOTICE UP TO THE SETTLEMENT DATE.</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EACH PROSPECTIVE INVESTOR SHOULD PROCEED ON THE ASSUMPTION THAT IT MUST BEAR THE ECONOMIC RISK OF AN INVESTMENT IN THE BONDS OR THE SHARES TO BE ISSUED OR TRANSFERRED AND DELIVERED UPON CONVERSION OF THE BONDS AND NOTIONALLY UNDERLYING THE BONDS (TOGETHER WITH THE BONDS,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17"/>
          <w:szCs w:val="17"/>
          <w:color w:val="auto"/>
        </w:rPr>
        <w:t>NONE OF THE ISSUER OR THE JOINT BOOKRUNNERS MAKE ANY REPRESENTATION AS TO (I) THE SUITABILITY OF THE SECURITIES FOR ANY PARTICULAR INVESTOR, (II) THE APPROPRIATE ACCOUNTING TREATMENT AND POTENTIAL TAX CONSEQUENCES OF INVESTING IN THE SECURITIES OR (III) THE FUTURE PERFORMANCE OF THE SECURITIES EITHER IN ABSOLUTE TERMS OR RELATIVE TO COMPETING INVESTMENTS.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JOINT BOOKRUNNERS ARE ACTING ON BEHALF OF THE ISSUER AND NO ONE ELSE IN CONNECTION WITH THE BONDS AND WILL NOT BE RESPONSIBLE TO ANY OTHER PERSON FOR PROVIDING THE PROTECTIONS AFFORDED TO CLIENTS OF THE JOINT BOOKRUNNERS OR FOR PROVIDING ADVICE IN RELATION TO THE SECURITIES.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EACH OF THE ISSUER, THE JOINT BOOKRUNNERS AND THEIR RESPECTIVE AFFILIATES EXPRESSLY DISCLAIMS ANY OBLIGATION OR UNDERTAKING TO UPDATE, REVIEW OR REVISE ANY STATEMENT CONTAINED IN THIS PRESS RELEASE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451485</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2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STMicroelectronics N.V.</w:t>
            </w:r>
          </w:p>
        </w:tc>
      </w:tr>
      <w:tr>
        <w:trPr>
          <w:trHeight w:val="392"/>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Date:   June 16, 2026</w:t>
            </w:r>
          </w:p>
        </w:tc>
        <w:tc>
          <w:tcPr>
            <w:tcW w:w="32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220" w:type="dxa"/>
            <w:vAlign w:val="bottom"/>
          </w:tcPr>
          <w:p>
            <w:pPr>
              <w:spacing w:after="0"/>
              <w:rPr>
                <w:sz w:val="24"/>
                <w:szCs w:val="24"/>
                <w:color w:val="auto"/>
              </w:rPr>
            </w:pPr>
          </w:p>
        </w:tc>
        <w:tc>
          <w:tcPr>
            <w:tcW w:w="2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L</w:t>
            </w:r>
            <w:r>
              <w:rPr>
                <w:rFonts w:ascii="Times New Roman" w:cs="Times New Roman" w:eastAsia="Times New Roman" w:hAnsi="Times New Roman"/>
                <w:sz w:val="11"/>
                <w:szCs w:val="11"/>
                <w:color w:val="auto"/>
              </w:rPr>
              <w:t>orenzo</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1"/>
                <w:szCs w:val="11"/>
                <w:color w:val="auto"/>
              </w:rPr>
              <w:t>randi</w:t>
            </w:r>
          </w:p>
        </w:tc>
        <w:tc>
          <w:tcPr>
            <w:tcW w:w="1500" w:type="dxa"/>
            <w:vAlign w:val="bottom"/>
          </w:tcPr>
          <w:p>
            <w:pPr>
              <w:spacing w:after="0"/>
              <w:rPr>
                <w:sz w:val="24"/>
                <w:szCs w:val="24"/>
                <w:color w:val="auto"/>
              </w:rPr>
            </w:pPr>
          </w:p>
        </w:tc>
      </w:tr>
      <w:tr>
        <w:trPr>
          <w:trHeight w:val="431"/>
        </w:trPr>
        <w:tc>
          <w:tcPr>
            <w:tcW w:w="4020" w:type="dxa"/>
            <w:vAlign w:val="bottom"/>
          </w:tcPr>
          <w:p>
            <w:pPr>
              <w:spacing w:after="0"/>
              <w:rPr>
                <w:sz w:val="24"/>
                <w:szCs w:val="24"/>
                <w:color w:val="auto"/>
              </w:rPr>
            </w:pPr>
          </w:p>
        </w:tc>
        <w:tc>
          <w:tcPr>
            <w:tcW w:w="32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40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Lorenzo Grandi</w:t>
            </w:r>
          </w:p>
        </w:tc>
      </w:tr>
      <w:tr>
        <w:trPr>
          <w:trHeight w:val="218"/>
        </w:trPr>
        <w:tc>
          <w:tcPr>
            <w:tcW w:w="4020" w:type="dxa"/>
            <w:vAlign w:val="bottom"/>
          </w:tcPr>
          <w:p>
            <w:pPr>
              <w:spacing w:after="0"/>
              <w:rPr>
                <w:sz w:val="18"/>
                <w:szCs w:val="18"/>
                <w:color w:val="auto"/>
              </w:rPr>
            </w:pPr>
          </w:p>
        </w:tc>
        <w:tc>
          <w:tcPr>
            <w:tcW w:w="32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Title:</w:t>
            </w:r>
          </w:p>
        </w:tc>
        <w:tc>
          <w:tcPr>
            <w:tcW w:w="40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President and Chief Financial Officer</w:t>
            </w:r>
          </w:p>
        </w:tc>
      </w:tr>
      <w:tr>
        <w:trPr>
          <w:trHeight w:val="2240"/>
        </w:trPr>
        <w:tc>
          <w:tcPr>
            <w:tcW w:w="40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-1962785</wp:posOffset>
            </wp:positionV>
            <wp:extent cx="106616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6165" cy="120015"/>
                    </a:xfrm>
                    <a:prstGeom prst="rect">
                      <a:avLst/>
                    </a:prstGeom>
                    <a:noFill/>
                  </pic:spPr>
                </pic:pic>
              </a:graphicData>
            </a:graphic>
          </wp:anchor>
        </w:drawing>
      </w:r>
    </w:p>
    <w:sectPr>
      <w:pgSz w:w="11900" w:h="16838" w:orient="portrait"/>
      <w:cols w:equalWidth="0" w:num="1">
        <w:col w:w="11240"/>
      </w:cols>
      <w:pgMar w:left="320" w:top="7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5"/>
    </w:lvl>
  </w:abstractNum>
  <w:abstractNum w:abstractNumId="3">
    <w:nsid w:val="625558EC"/>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2026-06-16T15:02:33Z</dcterms:created>
  <dcterms:modified xsi:type="dcterms:W3CDTF">2026-06-16T15:02:33Z</dcterms:modified>
</cp:coreProperties>
</file>