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39" w:lineRule="exact"/>
        <w:rPr>
          <w:sz w:val="24"/>
          <w:szCs w:val="24"/>
          <w:color w:val="auto"/>
        </w:rPr>
      </w:pPr>
    </w:p>
    <w:p>
      <w:pPr>
        <w:jc w:val="center"/>
        <w:ind w:left="1780" w:right="340"/>
        <w:spacing w:after="0" w:line="286" w:lineRule="auto"/>
        <w:rPr>
          <w:sz w:val="20"/>
          <w:szCs w:val="20"/>
          <w:color w:val="auto"/>
        </w:rPr>
      </w:pPr>
      <w:r>
        <w:rPr>
          <w:rFonts w:ascii="Times New Roman" w:cs="Times New Roman" w:eastAsia="Times New Roman" w:hAnsi="Times New Roman"/>
          <w:sz w:val="18"/>
          <w:szCs w:val="18"/>
          <w:b w:val="1"/>
          <w:bCs w:val="1"/>
          <w:color w:val="231F20"/>
        </w:rPr>
        <w:t>REPORT OF FOREIGN PRIVATE ISSUER PURSUANT TO RULE 13a-16 OR 15d-16 UNDER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month of April,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4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WTC Schiphol Airport</w:t>
      </w:r>
    </w:p>
    <w:p>
      <w:pPr>
        <w:spacing w:after="0" w:line="2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Schiphol Boulevard 265</w:t>
      </w:r>
    </w:p>
    <w:p>
      <w:pPr>
        <w:spacing w:after="0" w:line="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1118 BH Schiphol Airport</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The Netherlands</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3160"/>
        <w:spacing w:after="0" w:line="207" w:lineRule="exact"/>
        <w:tabs>
          <w:tab w:leader="none" w:pos="508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Enclosure: A press release dated April 23, 2026, </w:t>
      </w:r>
      <w:r>
        <w:rPr>
          <w:rFonts w:ascii="Times New Roman" w:cs="Times New Roman" w:eastAsia="Times New Roman" w:hAnsi="Times New Roman"/>
          <w:sz w:val="18"/>
          <w:szCs w:val="18"/>
          <w:color w:val="auto"/>
          <w:highlight w:val="white"/>
        </w:rPr>
        <w:t>announcing STMicroelectronics’ 2026 First Quarter Financial Results.</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002052"/>
        </w:rPr>
        <w:t>1</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
        <w:spacing w:after="0"/>
        <w:rPr>
          <w:sz w:val="20"/>
          <w:szCs w:val="20"/>
          <w:color w:val="auto"/>
        </w:rPr>
      </w:pPr>
      <w:r>
        <w:rPr>
          <w:rFonts w:ascii="Arial" w:cs="Arial" w:eastAsia="Arial" w:hAnsi="Arial"/>
          <w:sz w:val="18"/>
          <w:szCs w:val="18"/>
          <w:color w:val="auto"/>
        </w:rPr>
        <w:t>PR No: C3392C</w:t>
      </w:r>
    </w:p>
    <w:p>
      <w:pPr>
        <w:spacing w:after="0" w:line="169" w:lineRule="exact"/>
        <w:rPr>
          <w:sz w:val="20"/>
          <w:szCs w:val="20"/>
          <w:color w:val="auto"/>
        </w:rPr>
      </w:pPr>
    </w:p>
    <w:p>
      <w:pPr>
        <w:ind w:left="962"/>
        <w:spacing w:after="0"/>
        <w:rPr>
          <w:sz w:val="20"/>
          <w:szCs w:val="20"/>
          <w:color w:val="auto"/>
        </w:rPr>
      </w:pPr>
      <w:r>
        <w:rPr>
          <w:rFonts w:ascii="Arial" w:cs="Arial" w:eastAsia="Arial" w:hAnsi="Arial"/>
          <w:sz w:val="29"/>
          <w:szCs w:val="29"/>
          <w:b w:val="1"/>
          <w:bCs w:val="1"/>
          <w:color w:val="auto"/>
        </w:rPr>
        <w:t>STMicroelectronics Reports Q1 2026 Financial Results</w:t>
      </w:r>
    </w:p>
    <w:p>
      <w:pPr>
        <w:spacing w:after="0" w:line="195" w:lineRule="exact"/>
        <w:rPr>
          <w:sz w:val="20"/>
          <w:szCs w:val="20"/>
          <w:color w:val="auto"/>
        </w:rPr>
      </w:pPr>
    </w:p>
    <w:p>
      <w:pPr>
        <w:ind w:left="242" w:hanging="242"/>
        <w:spacing w:after="0"/>
        <w:tabs>
          <w:tab w:leader="none" w:pos="242"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Q126 net revenues at $3.10 billion</w:t>
      </w:r>
    </w:p>
    <w:p>
      <w:pPr>
        <w:spacing w:after="0" w:line="26" w:lineRule="exact"/>
        <w:rPr>
          <w:rFonts w:ascii="Times New Roman" w:cs="Times New Roman" w:eastAsia="Times New Roman" w:hAnsi="Times New Roman"/>
          <w:sz w:val="18"/>
          <w:szCs w:val="18"/>
          <w:color w:val="auto"/>
        </w:rPr>
      </w:pPr>
    </w:p>
    <w:p>
      <w:pPr>
        <w:ind w:left="242" w:right="140" w:hanging="242"/>
        <w:spacing w:after="0" w:line="219" w:lineRule="auto"/>
        <w:tabs>
          <w:tab w:leader="none" w:pos="242"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U.S. GAAP Gross margin at 33.8%. Excluding the Purchase Price Allocation (PPA) effects from the acquisition of NXP’s MEMS sensor business, </w:t>
      </w:r>
      <w:r>
        <w:rPr>
          <w:rFonts w:ascii="Arial" w:cs="Arial" w:eastAsia="Arial" w:hAnsi="Arial"/>
          <w:sz w:val="18"/>
          <w:szCs w:val="18"/>
          <w:b w:val="1"/>
          <w:bCs w:val="1"/>
          <w:color w:val="171718"/>
        </w:rPr>
        <w:t>non-U.S.</w:t>
      </w:r>
      <w:r>
        <w:rPr>
          <w:rFonts w:ascii="Arial" w:cs="Arial" w:eastAsia="Arial" w:hAnsi="Arial"/>
          <w:sz w:val="18"/>
          <w:szCs w:val="18"/>
          <w:b w:val="1"/>
          <w:bCs w:val="1"/>
          <w:color w:val="auto"/>
        </w:rPr>
        <w:t xml:space="preserve"> 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gross margin at 34.1%</w:t>
      </w:r>
    </w:p>
    <w:p>
      <w:pPr>
        <w:spacing w:after="0" w:line="1" w:lineRule="exact"/>
        <w:rPr>
          <w:rFonts w:ascii="Times New Roman" w:cs="Times New Roman" w:eastAsia="Times New Roman" w:hAnsi="Times New Roman"/>
          <w:sz w:val="18"/>
          <w:szCs w:val="18"/>
          <w:color w:val="auto"/>
        </w:rPr>
      </w:pPr>
    </w:p>
    <w:p>
      <w:pPr>
        <w:ind w:left="242" w:hanging="242"/>
        <w:spacing w:after="0" w:line="196" w:lineRule="auto"/>
        <w:tabs>
          <w:tab w:leader="none" w:pos="242"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U.S. GAAP operating income at $70 million (non-U.S. 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operating income at $171 million)</w:t>
      </w:r>
    </w:p>
    <w:p>
      <w:pPr>
        <w:ind w:left="242" w:right="480" w:hanging="242"/>
        <w:spacing w:after="0" w:line="276" w:lineRule="auto"/>
        <w:tabs>
          <w:tab w:leader="none" w:pos="242" w:val="left"/>
        </w:tabs>
        <w:numPr>
          <w:ilvl w:val="0"/>
          <w:numId w:val="1"/>
        </w:numPr>
        <w:rPr>
          <w:rFonts w:ascii="Times New Roman" w:cs="Times New Roman" w:eastAsia="Times New Roman" w:hAnsi="Times New Roman"/>
          <w:sz w:val="18"/>
          <w:szCs w:val="18"/>
          <w:color w:val="171718"/>
        </w:rPr>
      </w:pPr>
      <w:r>
        <w:rPr>
          <w:rFonts w:ascii="Arial" w:cs="Arial" w:eastAsia="Arial" w:hAnsi="Arial"/>
          <w:sz w:val="18"/>
          <w:szCs w:val="18"/>
          <w:b w:val="1"/>
          <w:bCs w:val="1"/>
          <w:color w:val="171718"/>
        </w:rPr>
        <w:t>Business outlook at mid-point: Q226 net revenues of</w:t>
      </w:r>
      <w:r>
        <w:rPr>
          <w:rFonts w:ascii="Arial" w:cs="Arial" w:eastAsia="Arial" w:hAnsi="Arial"/>
          <w:sz w:val="18"/>
          <w:szCs w:val="18"/>
          <w:b w:val="1"/>
          <w:bCs w:val="1"/>
          <w:color w:val="000000"/>
        </w:rPr>
        <w:t>3</w:t>
      </w:r>
      <w:r>
        <w:rPr>
          <w:rFonts w:ascii="Arial" w:cs="Arial" w:eastAsia="Arial" w:hAnsi="Arial"/>
          <w:sz w:val="18"/>
          <w:szCs w:val="18"/>
          <w:b w:val="1"/>
          <w:bCs w:val="1"/>
          <w:color w:val="171718"/>
        </w:rPr>
        <w:t>$</w:t>
      </w:r>
      <w:r>
        <w:rPr>
          <w:rFonts w:ascii="Arial" w:cs="Arial" w:eastAsia="Arial" w:hAnsi="Arial"/>
          <w:sz w:val="18"/>
          <w:szCs w:val="18"/>
          <w:b w:val="1"/>
          <w:bCs w:val="1"/>
          <w:color w:val="000000"/>
        </w:rPr>
        <w:t>.45</w:t>
      </w:r>
      <w:r>
        <w:rPr>
          <w:rFonts w:ascii="Arial" w:cs="Arial" w:eastAsia="Arial" w:hAnsi="Arial"/>
          <w:sz w:val="18"/>
          <w:szCs w:val="18"/>
          <w:b w:val="1"/>
          <w:bCs w:val="1"/>
          <w:color w:val="171718"/>
        </w:rPr>
        <w:t xml:space="preserve"> billion and U.S. GAAP gross margin of</w:t>
      </w:r>
      <w:r>
        <w:rPr>
          <w:rFonts w:ascii="Arial" w:cs="Arial" w:eastAsia="Arial" w:hAnsi="Arial"/>
          <w:sz w:val="18"/>
          <w:szCs w:val="18"/>
          <w:b w:val="1"/>
          <w:bCs w:val="1"/>
          <w:color w:val="000000"/>
        </w:rPr>
        <w:t>34.8</w:t>
      </w:r>
      <w:r>
        <w:rPr>
          <w:rFonts w:ascii="Arial" w:cs="Arial" w:eastAsia="Arial" w:hAnsi="Arial"/>
          <w:sz w:val="18"/>
          <w:szCs w:val="18"/>
          <w:b w:val="1"/>
          <w:bCs w:val="1"/>
          <w:color w:val="171718"/>
        </w:rPr>
        <w:t>% (non-U.S. GAAP</w:t>
      </w:r>
      <w:r>
        <w:rPr>
          <w:rFonts w:ascii="Arial" w:cs="Arial" w:eastAsia="Arial" w:hAnsi="Arial"/>
          <w:sz w:val="23"/>
          <w:szCs w:val="23"/>
          <w:b w:val="1"/>
          <w:bCs w:val="1"/>
          <w:color w:val="171718"/>
          <w:vertAlign w:val="superscript"/>
        </w:rPr>
        <w:t>1</w:t>
      </w:r>
      <w:r>
        <w:rPr>
          <w:rFonts w:ascii="Arial" w:cs="Arial" w:eastAsia="Arial" w:hAnsi="Arial"/>
          <w:sz w:val="18"/>
          <w:szCs w:val="18"/>
          <w:b w:val="1"/>
          <w:bCs w:val="1"/>
          <w:color w:val="171718"/>
        </w:rPr>
        <w:t xml:space="preserve"> gross margin of 35.2%)</w:t>
      </w:r>
    </w:p>
    <w:p>
      <w:pPr>
        <w:spacing w:after="0" w:line="33" w:lineRule="exact"/>
        <w:rPr>
          <w:sz w:val="20"/>
          <w:szCs w:val="20"/>
          <w:color w:val="auto"/>
        </w:rPr>
      </w:pPr>
    </w:p>
    <w:p>
      <w:pPr>
        <w:ind w:left="2" w:right="80"/>
        <w:spacing w:after="0" w:line="291" w:lineRule="auto"/>
        <w:rPr>
          <w:sz w:val="20"/>
          <w:szCs w:val="20"/>
          <w:color w:val="auto"/>
        </w:rPr>
      </w:pPr>
      <w:r>
        <w:rPr>
          <w:rFonts w:ascii="Arial" w:cs="Arial" w:eastAsia="Arial" w:hAnsi="Arial"/>
          <w:sz w:val="17"/>
          <w:szCs w:val="17"/>
          <w:b w:val="1"/>
          <w:bCs w:val="1"/>
          <w:color w:val="171718"/>
        </w:rPr>
        <w:t xml:space="preserve">Geneva, April 23, 2026 – STMicroelectronics N.V. (“ST”) (NYSE: STM), </w:t>
      </w:r>
      <w:r>
        <w:rPr>
          <w:rFonts w:ascii="Arial" w:cs="Arial" w:eastAsia="Arial" w:hAnsi="Arial"/>
          <w:sz w:val="17"/>
          <w:szCs w:val="17"/>
          <w:color w:val="171718"/>
        </w:rPr>
        <w:t>a global semiconductor leader serving</w:t>
      </w:r>
      <w:r>
        <w:rPr>
          <w:rFonts w:ascii="Arial" w:cs="Arial" w:eastAsia="Arial" w:hAnsi="Arial"/>
          <w:sz w:val="17"/>
          <w:szCs w:val="17"/>
          <w:b w:val="1"/>
          <w:bCs w:val="1"/>
          <w:color w:val="171718"/>
        </w:rPr>
        <w:t xml:space="preserve"> </w:t>
      </w:r>
      <w:r>
        <w:rPr>
          <w:rFonts w:ascii="Arial" w:cs="Arial" w:eastAsia="Arial" w:hAnsi="Arial"/>
          <w:sz w:val="17"/>
          <w:szCs w:val="17"/>
          <w:color w:val="171718"/>
        </w:rPr>
        <w:t>customers across the spectrum of electronics applications, reported U.S. GAAP financial results for the first quarter ended March 28, 2026. This press release also contains non-U.S. GAAP measures (see Appendix for additional information).</w:t>
      </w:r>
    </w:p>
    <w:p>
      <w:pPr>
        <w:spacing w:after="0" w:line="85" w:lineRule="exact"/>
        <w:rPr>
          <w:sz w:val="20"/>
          <w:szCs w:val="20"/>
          <w:color w:val="auto"/>
        </w:rPr>
      </w:pPr>
    </w:p>
    <w:p>
      <w:pPr>
        <w:ind w:left="2" w:right="300"/>
        <w:spacing w:after="0" w:line="253" w:lineRule="auto"/>
        <w:rPr>
          <w:sz w:val="20"/>
          <w:szCs w:val="20"/>
          <w:color w:val="auto"/>
        </w:rPr>
      </w:pPr>
      <w:r>
        <w:rPr>
          <w:rFonts w:ascii="Arial" w:cs="Arial" w:eastAsia="Arial" w:hAnsi="Arial"/>
          <w:sz w:val="17"/>
          <w:szCs w:val="17"/>
          <w:color w:val="171718"/>
        </w:rPr>
        <w:t>ST reported first quarter net revenues of $3.10 billion,</w:t>
      </w:r>
      <w:r>
        <w:rPr>
          <w:rFonts w:ascii="Arial" w:cs="Arial" w:eastAsia="Arial" w:hAnsi="Arial"/>
          <w:sz w:val="17"/>
          <w:szCs w:val="17"/>
          <w:color w:val="000000"/>
        </w:rPr>
        <w:t>gross margin of 33.8%, operating income of $70 million, and net</w:t>
      </w:r>
      <w:r>
        <w:rPr>
          <w:rFonts w:ascii="Arial" w:cs="Arial" w:eastAsia="Arial" w:hAnsi="Arial"/>
          <w:sz w:val="17"/>
          <w:szCs w:val="17"/>
          <w:color w:val="171718"/>
        </w:rPr>
        <w:t xml:space="preserve"> </w:t>
      </w:r>
      <w:r>
        <w:rPr>
          <w:rFonts w:ascii="Arial" w:cs="Arial" w:eastAsia="Arial" w:hAnsi="Arial"/>
          <w:sz w:val="17"/>
          <w:szCs w:val="17"/>
          <w:color w:val="000000"/>
        </w:rPr>
        <w:t>income of $37 million or $ 0.04 diluted earnings per share (non-U.S. GAAP</w:t>
      </w:r>
      <w:r>
        <w:rPr>
          <w:rFonts w:ascii="Arial" w:cs="Arial" w:eastAsia="Arial" w:hAnsi="Arial"/>
          <w:sz w:val="22"/>
          <w:szCs w:val="22"/>
          <w:color w:val="000000"/>
          <w:vertAlign w:val="superscript"/>
        </w:rPr>
        <w:t>1</w:t>
      </w:r>
      <w:r>
        <w:rPr>
          <w:rFonts w:ascii="Arial" w:cs="Arial" w:eastAsia="Arial" w:hAnsi="Arial"/>
          <w:sz w:val="17"/>
          <w:szCs w:val="17"/>
          <w:color w:val="000000"/>
        </w:rPr>
        <w:t xml:space="preserve"> gross margin of 34.1%, non-U.S. GAAP</w:t>
      </w:r>
      <w:r>
        <w:rPr>
          <w:rFonts w:ascii="Arial" w:cs="Arial" w:eastAsia="Arial" w:hAnsi="Arial"/>
          <w:sz w:val="22"/>
          <w:szCs w:val="22"/>
          <w:color w:val="000000"/>
          <w:vertAlign w:val="superscript"/>
        </w:rPr>
        <w:t>1</w:t>
      </w:r>
      <w:r>
        <w:rPr>
          <w:rFonts w:ascii="Arial" w:cs="Arial" w:eastAsia="Arial" w:hAnsi="Arial"/>
          <w:sz w:val="17"/>
          <w:szCs w:val="17"/>
          <w:color w:val="000000"/>
        </w:rPr>
        <w:t xml:space="preserve"> operating income of $171 million, and non-U.S. GAAP</w:t>
      </w:r>
      <w:r>
        <w:rPr>
          <w:rFonts w:ascii="Arial" w:cs="Arial" w:eastAsia="Arial" w:hAnsi="Arial"/>
          <w:sz w:val="22"/>
          <w:szCs w:val="22"/>
          <w:color w:val="000000"/>
          <w:vertAlign w:val="superscript"/>
        </w:rPr>
        <w:t>1</w:t>
      </w:r>
      <w:r>
        <w:rPr>
          <w:rFonts w:ascii="Arial" w:cs="Arial" w:eastAsia="Arial" w:hAnsi="Arial"/>
          <w:sz w:val="17"/>
          <w:szCs w:val="17"/>
          <w:color w:val="000000"/>
        </w:rPr>
        <w:t xml:space="preserve"> net income of $122 million or $0.13 diluted earnings per share).</w:t>
      </w:r>
    </w:p>
    <w:p>
      <w:pPr>
        <w:spacing w:after="0" w:line="57" w:lineRule="exact"/>
        <w:rPr>
          <w:sz w:val="20"/>
          <w:szCs w:val="20"/>
          <w:color w:val="auto"/>
        </w:rPr>
      </w:pPr>
    </w:p>
    <w:p>
      <w:pPr>
        <w:ind w:left="2"/>
        <w:spacing w:after="0"/>
        <w:rPr>
          <w:sz w:val="20"/>
          <w:szCs w:val="20"/>
          <w:color w:val="auto"/>
        </w:rPr>
      </w:pPr>
      <w:r>
        <w:rPr>
          <w:rFonts w:ascii="Arial" w:cs="Arial" w:eastAsia="Arial" w:hAnsi="Arial"/>
          <w:sz w:val="18"/>
          <w:szCs w:val="18"/>
          <w:color w:val="171718"/>
        </w:rPr>
        <w:t>Jean-Marc Chery, ST President &amp; CEO, commented:</w:t>
      </w:r>
    </w:p>
    <w:p>
      <w:pPr>
        <w:spacing w:after="0" w:line="158" w:lineRule="exact"/>
        <w:rPr>
          <w:sz w:val="20"/>
          <w:szCs w:val="20"/>
          <w:color w:val="auto"/>
        </w:rPr>
      </w:pPr>
    </w:p>
    <w:p>
      <w:pPr>
        <w:ind w:left="322" w:right="60" w:hanging="322"/>
        <w:spacing w:after="0" w:line="245" w:lineRule="auto"/>
        <w:tabs>
          <w:tab w:leader="none" w:pos="322" w:val="left"/>
        </w:tabs>
        <w:numPr>
          <w:ilvl w:val="0"/>
          <w:numId w:val="2"/>
        </w:numPr>
        <w:rPr>
          <w:rFonts w:ascii="Times New Roman" w:cs="Times New Roman" w:eastAsia="Times New Roman" w:hAnsi="Times New Roman"/>
          <w:sz w:val="18"/>
          <w:szCs w:val="18"/>
          <w:color w:val="171718"/>
        </w:rPr>
      </w:pPr>
      <w:r>
        <w:rPr>
          <w:rFonts w:ascii="Arial" w:cs="Arial" w:eastAsia="Arial" w:hAnsi="Arial"/>
          <w:sz w:val="18"/>
          <w:szCs w:val="18"/>
          <w:b w:val="1"/>
          <w:bCs w:val="1"/>
          <w:color w:val="171718"/>
          <w:highlight w:val="white"/>
        </w:rPr>
        <w:t>“Q1 net revenues, excluding the contribution of our acquisition of NXP’s MEMS sensor business, came above the mid-point of our business outlook range, driven mainly by higher revenues in our engaged customer</w:t>
      </w:r>
      <w:r>
        <w:rPr>
          <w:rFonts w:ascii="Times New Roman" w:cs="Times New Roman" w:eastAsia="Times New Roman" w:hAnsi="Times New Roman"/>
          <w:sz w:val="1"/>
          <w:szCs w:val="1"/>
          <w:color w:val="171718"/>
        </w:rPr>
        <w:drawing>
          <wp:inline distT="0" distB="0" distL="0" distR="0">
            <wp:extent cx="3429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b w:val="1"/>
          <w:bCs w:val="1"/>
          <w:color w:val="171718"/>
          <w:highlight w:val="white"/>
        </w:rPr>
        <w:t xml:space="preserve"> programs in Personal electronics and CECP</w:t>
      </w:r>
      <w:r>
        <w:rPr>
          <w:rFonts w:ascii="Arial" w:cs="Arial" w:eastAsia="Arial" w:hAnsi="Arial"/>
          <w:sz w:val="18"/>
          <w:szCs w:val="18"/>
          <w:b w:val="1"/>
          <w:bCs w:val="1"/>
          <w:color w:val="000000"/>
          <w:highlight w:val="white"/>
        </w:rPr>
        <w:t>.</w:t>
      </w:r>
      <w:r>
        <w:rPr>
          <w:rFonts w:ascii="Arial" w:cs="Arial" w:eastAsia="Arial" w:hAnsi="Arial"/>
          <w:sz w:val="18"/>
          <w:szCs w:val="18"/>
          <w:b w:val="1"/>
          <w:bCs w:val="1"/>
          <w:color w:val="171718"/>
          <w:highlight w:val="white"/>
        </w:rPr>
        <w:t>Gross margin was abov</w:t>
      </w:r>
      <w:r>
        <w:rPr>
          <w:rFonts w:ascii="Arial" w:cs="Arial" w:eastAsia="Arial" w:hAnsi="Arial"/>
          <w:sz w:val="18"/>
          <w:szCs w:val="18"/>
          <w:b w:val="1"/>
          <w:bCs w:val="1"/>
          <w:color w:val="171718"/>
        </w:rPr>
        <w:t>e</w:t>
      </w:r>
      <w:r>
        <w:rPr>
          <w:rFonts w:ascii="Arial" w:cs="Arial" w:eastAsia="Arial" w:hAnsi="Arial"/>
          <w:sz w:val="18"/>
          <w:szCs w:val="18"/>
          <w:b w:val="1"/>
          <w:bCs w:val="1"/>
          <w:color w:val="171718"/>
          <w:highlight w:val="white"/>
        </w:rPr>
        <w:t>the mid-point of our business outloo</w:t>
      </w:r>
      <w:r>
        <w:rPr>
          <w:rFonts w:ascii="Arial" w:cs="Arial" w:eastAsia="Arial" w:hAnsi="Arial"/>
          <w:sz w:val="18"/>
          <w:szCs w:val="18"/>
          <w:b w:val="1"/>
          <w:bCs w:val="1"/>
          <w:color w:val="171718"/>
        </w:rPr>
        <w:t>k</w:t>
      </w:r>
      <w:r>
        <w:rPr>
          <w:rFonts w:ascii="Arial" w:cs="Arial" w:eastAsia="Arial" w:hAnsi="Arial"/>
          <w:sz w:val="18"/>
          <w:szCs w:val="18"/>
          <w:b w:val="1"/>
          <w:bCs w:val="1"/>
          <w:color w:val="171718"/>
          <w:highlight w:val="white"/>
        </w:rPr>
        <w:t xml:space="preserve"> range mainly due to better product mix.</w:t>
      </w:r>
      <w:r>
        <w:rPr>
          <w:rFonts w:ascii="Arial" w:cs="Arial" w:eastAsia="Arial" w:hAnsi="Arial"/>
          <w:sz w:val="18"/>
          <w:szCs w:val="18"/>
          <w:b w:val="1"/>
          <w:bCs w:val="1"/>
          <w:color w:val="000000"/>
          <w:highlight w:val="white"/>
        </w:rPr>
        <w:t>”</w:t>
      </w:r>
    </w:p>
    <w:p>
      <w:pPr>
        <w:spacing w:after="0" w:line="2" w:lineRule="exact"/>
        <w:rPr>
          <w:rFonts w:ascii="Times New Roman" w:cs="Times New Roman" w:eastAsia="Times New Roman" w:hAnsi="Times New Roman"/>
          <w:sz w:val="18"/>
          <w:szCs w:val="18"/>
          <w:color w:val="171718"/>
        </w:rPr>
      </w:pPr>
    </w:p>
    <w:p>
      <w:pPr>
        <w:ind w:left="322" w:right="40" w:hanging="322"/>
        <w:spacing w:after="0" w:line="228" w:lineRule="auto"/>
        <w:tabs>
          <w:tab w:leader="none" w:pos="322" w:val="left"/>
        </w:tabs>
        <w:numPr>
          <w:ilvl w:val="0"/>
          <w:numId w:val="2"/>
        </w:numPr>
        <w:rPr>
          <w:rFonts w:ascii="Times New Roman" w:cs="Times New Roman" w:eastAsia="Times New Roman" w:hAnsi="Times New Roman"/>
          <w:sz w:val="18"/>
          <w:szCs w:val="18"/>
          <w:color w:val="171718"/>
        </w:rPr>
      </w:pPr>
      <w:r>
        <w:rPr>
          <w:rFonts w:ascii="Arial" w:cs="Arial" w:eastAsia="Arial" w:hAnsi="Arial"/>
          <w:sz w:val="18"/>
          <w:szCs w:val="18"/>
          <w:b w:val="1"/>
          <w:bCs w:val="1"/>
          <w:color w:val="171718"/>
          <w:highlight w:val="white"/>
        </w:rPr>
        <w:t>“On a year-over-year basis, Q1 net revenues increased 23.0%; excluding the contribution of our acquisiti</w:t>
      </w:r>
      <w:r>
        <w:rPr>
          <w:rFonts w:ascii="Arial" w:cs="Arial" w:eastAsia="Arial" w:hAnsi="Arial"/>
          <w:sz w:val="18"/>
          <w:szCs w:val="18"/>
          <w:b w:val="1"/>
          <w:bCs w:val="1"/>
          <w:color w:val="171718"/>
        </w:rPr>
        <w:t>on of</w:t>
      </w:r>
      <w:r>
        <w:rPr>
          <w:rFonts w:ascii="Arial" w:cs="Arial" w:eastAsia="Arial" w:hAnsi="Arial"/>
          <w:sz w:val="18"/>
          <w:szCs w:val="18"/>
          <w:b w:val="1"/>
          <w:bCs w:val="1"/>
          <w:color w:val="171718"/>
          <w:highlight w:val="white"/>
        </w:rPr>
        <w:t xml:space="preserve"> NXP’s MEMS sensor business, they increased 21.4%. Q1 gross margin was 33.8%, operating margin was</w:t>
      </w:r>
      <w:r>
        <w:rPr>
          <w:rFonts w:ascii="Times New Roman" w:cs="Times New Roman" w:eastAsia="Times New Roman" w:hAnsi="Times New Roman"/>
          <w:sz w:val="1"/>
          <w:szCs w:val="1"/>
          <w:color w:val="171718"/>
        </w:rPr>
        <w:drawing>
          <wp:inline distT="0" distB="0" distL="0" distR="0">
            <wp:extent cx="34290" cy="104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8"/>
          <w:szCs w:val="18"/>
          <w:b w:val="1"/>
          <w:bCs w:val="1"/>
          <w:color w:val="171718"/>
          <w:highlight w:val="white"/>
        </w:rPr>
        <w:t xml:space="preserve"> 2.3% and net income was $37 million. On a non-U.S</w:t>
      </w:r>
      <w:r>
        <w:rPr>
          <w:rFonts w:ascii="Arial" w:cs="Arial" w:eastAsia="Arial" w:hAnsi="Arial"/>
          <w:sz w:val="18"/>
          <w:szCs w:val="18"/>
          <w:b w:val="1"/>
          <w:bCs w:val="1"/>
          <w:color w:val="000000"/>
          <w:highlight w:val="white"/>
        </w:rPr>
        <w:t>GAAP</w:t>
      </w:r>
      <w:r>
        <w:rPr>
          <w:rFonts w:ascii="Arial" w:cs="Arial" w:eastAsia="Arial" w:hAnsi="Arial"/>
          <w:sz w:val="18"/>
          <w:szCs w:val="18"/>
          <w:b w:val="1"/>
          <w:bCs w:val="1"/>
          <w:color w:val="171718"/>
        </w:rPr>
        <w:t>.</w:t>
      </w:r>
      <w:r>
        <w:rPr>
          <w:rFonts w:ascii="Arial" w:cs="Arial" w:eastAsia="Arial" w:hAnsi="Arial"/>
          <w:sz w:val="23"/>
          <w:szCs w:val="23"/>
          <w:b w:val="1"/>
          <w:bCs w:val="1"/>
          <w:color w:val="000000"/>
          <w:vertAlign w:val="superscript"/>
        </w:rPr>
        <w:t>1</w:t>
      </w:r>
      <w:r>
        <w:rPr>
          <w:rFonts w:ascii="Arial" w:cs="Arial" w:eastAsia="Arial" w:hAnsi="Arial"/>
          <w:sz w:val="18"/>
          <w:szCs w:val="18"/>
          <w:b w:val="1"/>
          <w:bCs w:val="1"/>
          <w:color w:val="171718"/>
          <w:highlight w:val="white"/>
        </w:rPr>
        <w:t xml:space="preserve"> </w:t>
      </w:r>
      <w:r>
        <w:rPr>
          <w:rFonts w:ascii="Arial" w:cs="Arial" w:eastAsia="Arial" w:hAnsi="Arial"/>
          <w:sz w:val="18"/>
          <w:szCs w:val="18"/>
          <w:b w:val="1"/>
          <w:bCs w:val="1"/>
          <w:color w:val="000000"/>
          <w:highlight w:val="white"/>
        </w:rPr>
        <w:t>basis</w:t>
      </w:r>
      <w:r>
        <w:rPr>
          <w:rFonts w:ascii="Arial" w:cs="Arial" w:eastAsia="Arial" w:hAnsi="Arial"/>
          <w:sz w:val="18"/>
          <w:szCs w:val="18"/>
          <w:b w:val="1"/>
          <w:bCs w:val="1"/>
          <w:color w:val="171718"/>
          <w:highlight w:val="white"/>
        </w:rPr>
        <w:t xml:space="preserve"> gross margin was 34.1%, operating margin</w:t>
      </w:r>
    </w:p>
    <w:p>
      <w:pPr>
        <w:spacing w:after="0" w:line="3"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171718"/>
          <w:highlight w:val="white"/>
        </w:rPr>
        <w:t>was 5.5% and net income was $122 million.”</w:t>
      </w:r>
    </w:p>
    <w:p>
      <w:pPr>
        <w:spacing w:after="0" w:line="9" w:lineRule="exact"/>
        <w:rPr>
          <w:sz w:val="20"/>
          <w:szCs w:val="20"/>
          <w:color w:val="auto"/>
        </w:rPr>
      </w:pPr>
    </w:p>
    <w:p>
      <w:pPr>
        <w:ind w:left="322" w:right="880" w:hanging="319"/>
        <w:spacing w:after="0" w:line="249" w:lineRule="auto"/>
        <w:tabs>
          <w:tab w:leader="none" w:pos="301" w:val="left"/>
        </w:tabs>
        <w:rPr>
          <w:sz w:val="20"/>
          <w:szCs w:val="20"/>
          <w:color w:val="auto"/>
        </w:rPr>
      </w:pPr>
      <w:r>
        <w:rPr>
          <w:rFonts w:ascii="Times New Roman" w:cs="Times New Roman" w:eastAsia="Times New Roman" w:hAnsi="Times New Roman"/>
          <w:sz w:val="18"/>
          <w:szCs w:val="18"/>
          <w:color w:val="03234B"/>
        </w:rPr>
        <w:t>•</w:t>
      </w:r>
      <w:r>
        <w:rPr>
          <w:sz w:val="20"/>
          <w:szCs w:val="20"/>
          <w:color w:val="auto"/>
        </w:rPr>
        <w:tab/>
      </w:r>
      <w:r>
        <w:rPr>
          <w:rFonts w:ascii="Arial" w:cs="Arial" w:eastAsia="Arial" w:hAnsi="Arial"/>
          <w:sz w:val="18"/>
          <w:szCs w:val="18"/>
          <w:b w:val="1"/>
          <w:bCs w:val="1"/>
          <w:color w:val="171718"/>
          <w:highlight w:val="white"/>
        </w:rPr>
        <w:t>“In Q1, despite the macroeconomic uncertainty, we saw improving demand with strong booking and normalized inventory in distribution.”</w:t>
      </w:r>
    </w:p>
    <w:p>
      <w:pPr>
        <w:spacing w:after="0" w:line="2" w:lineRule="exact"/>
        <w:rPr>
          <w:sz w:val="20"/>
          <w:szCs w:val="20"/>
          <w:color w:val="auto"/>
        </w:rPr>
      </w:pPr>
    </w:p>
    <w:p>
      <w:pPr>
        <w:ind w:left="322" w:right="140" w:hanging="322"/>
        <w:spacing w:after="0" w:line="243" w:lineRule="auto"/>
        <w:tabs>
          <w:tab w:leader="none" w:pos="322"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highlight w:val="white"/>
        </w:rPr>
        <w:t>“Our second quarter business outlook, at the mid-point, is for net revenues of $3.45 billion, increasing 11.6% sequentially and 24.9% year-over-year. Gross margin is expected to be about 34.8%, including about 100</w:t>
      </w:r>
      <w:r>
        <w:rPr>
          <w:rFonts w:ascii="Times New Roman" w:cs="Times New Roman" w:eastAsia="Times New Roman" w:hAnsi="Times New Roman"/>
          <w:sz w:val="1"/>
          <w:szCs w:val="1"/>
          <w:color w:val="auto"/>
        </w:rPr>
        <w:drawing>
          <wp:inline distT="0" distB="0" distL="0" distR="0">
            <wp:extent cx="34290" cy="11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7"/>
          <w:szCs w:val="17"/>
          <w:b w:val="1"/>
          <w:bCs w:val="1"/>
          <w:color w:val="auto"/>
          <w:highlight w:val="white"/>
        </w:rPr>
        <w:t xml:space="preserve"> basis points of unused capacity charges</w:t>
      </w:r>
      <w:r>
        <w:rPr>
          <w:rFonts w:ascii="Arial" w:cs="Arial" w:eastAsia="Arial" w:hAnsi="Arial"/>
          <w:sz w:val="18"/>
          <w:szCs w:val="18"/>
          <w:color w:val="03234B"/>
        </w:rPr>
        <w:t>.</w:t>
      </w:r>
      <w:r>
        <w:rPr>
          <w:rFonts w:ascii="Arial" w:cs="Arial" w:eastAsia="Arial" w:hAnsi="Arial"/>
          <w:sz w:val="17"/>
          <w:szCs w:val="17"/>
          <w:b w:val="1"/>
          <w:bCs w:val="1"/>
          <w:color w:val="auto"/>
          <w:highlight w:val="white"/>
        </w:rPr>
        <w:t xml:space="preserve"> Non-U.S. GAAP</w:t>
      </w:r>
      <w:r>
        <w:rPr>
          <w:rFonts w:ascii="Arial" w:cs="Arial" w:eastAsia="Arial" w:hAnsi="Arial"/>
          <w:sz w:val="22"/>
          <w:szCs w:val="22"/>
          <w:b w:val="1"/>
          <w:bCs w:val="1"/>
          <w:color w:val="auto"/>
          <w:highlight w:val="white"/>
          <w:vertAlign w:val="superscript"/>
        </w:rPr>
        <w:t>1</w:t>
      </w:r>
      <w:r>
        <w:rPr>
          <w:rFonts w:ascii="Arial" w:cs="Arial" w:eastAsia="Arial" w:hAnsi="Arial"/>
          <w:sz w:val="17"/>
          <w:szCs w:val="17"/>
          <w:b w:val="1"/>
          <w:bCs w:val="1"/>
          <w:color w:val="auto"/>
          <w:highlight w:val="white"/>
        </w:rPr>
        <w:t xml:space="preserve"> gross margin is expected to be about 35.2%.”</w:t>
      </w:r>
    </w:p>
    <w:p>
      <w:pPr>
        <w:spacing w:after="0" w:line="1" w:lineRule="exact"/>
        <w:rPr>
          <w:rFonts w:ascii="Times New Roman" w:cs="Times New Roman" w:eastAsia="Times New Roman" w:hAnsi="Times New Roman"/>
          <w:sz w:val="17"/>
          <w:szCs w:val="17"/>
          <w:color w:val="auto"/>
        </w:rPr>
      </w:pPr>
    </w:p>
    <w:p>
      <w:pPr>
        <w:jc w:val="both"/>
        <w:ind w:left="322" w:right="340" w:hanging="322"/>
        <w:spacing w:after="0" w:line="262" w:lineRule="auto"/>
        <w:tabs>
          <w:tab w:leader="none" w:pos="322" w:val="left"/>
        </w:tabs>
        <w:numPr>
          <w:ilvl w:val="0"/>
          <w:numId w:val="3"/>
        </w:numPr>
        <w:rPr>
          <w:rFonts w:ascii="Times New Roman" w:cs="Times New Roman" w:eastAsia="Times New Roman" w:hAnsi="Times New Roman"/>
          <w:sz w:val="18"/>
          <w:szCs w:val="18"/>
          <w:color w:val="171718"/>
        </w:rPr>
      </w:pPr>
      <w:r>
        <w:rPr>
          <w:rFonts w:ascii="Arial" w:cs="Arial" w:eastAsia="Arial" w:hAnsi="Arial"/>
          <w:sz w:val="18"/>
          <w:szCs w:val="18"/>
          <w:b w:val="1"/>
          <w:bCs w:val="1"/>
          <w:color w:val="171718"/>
          <w:highlight w:val="white"/>
        </w:rPr>
        <w:t>“ST is now strategically positioned to capture upside from new AI driven programs, leveraging specializ</w:t>
      </w:r>
      <w:r>
        <w:rPr>
          <w:rFonts w:ascii="Arial" w:cs="Arial" w:eastAsia="Arial" w:hAnsi="Arial"/>
          <w:sz w:val="18"/>
          <w:szCs w:val="18"/>
          <w:b w:val="1"/>
          <w:bCs w:val="1"/>
          <w:color w:val="171718"/>
        </w:rPr>
        <w:t>ed</w:t>
      </w:r>
      <w:r>
        <w:rPr>
          <w:rFonts w:ascii="Arial" w:cs="Arial" w:eastAsia="Arial" w:hAnsi="Arial"/>
          <w:sz w:val="18"/>
          <w:szCs w:val="18"/>
          <w:b w:val="1"/>
          <w:bCs w:val="1"/>
          <w:color w:val="171718"/>
          <w:highlight w:val="white"/>
        </w:rPr>
        <w:t xml:space="preserve"> technologies to enable the evolving AinI</w:t>
      </w:r>
      <w:r>
        <w:rPr>
          <w:rFonts w:ascii="Arial" w:cs="Arial" w:eastAsia="Arial" w:hAnsi="Arial"/>
          <w:sz w:val="18"/>
          <w:szCs w:val="18"/>
          <w:b w:val="1"/>
          <w:bCs w:val="1"/>
          <w:color w:val="171718"/>
        </w:rPr>
        <w:t>frastructure, confirming our datacenters revenue expectation to be</w:t>
      </w:r>
      <w:r>
        <w:rPr>
          <w:rFonts w:ascii="Arial" w:cs="Arial" w:eastAsia="Arial" w:hAnsi="Arial"/>
          <w:sz w:val="18"/>
          <w:szCs w:val="18"/>
          <w:b w:val="1"/>
          <w:bCs w:val="1"/>
          <w:color w:val="171718"/>
          <w:highlight w:val="white"/>
        </w:rPr>
        <w:t xml:space="preserve"> </w:t>
      </w:r>
      <w:r>
        <w:rPr>
          <w:rFonts w:ascii="Arial" w:cs="Arial" w:eastAsia="Arial" w:hAnsi="Arial"/>
          <w:sz w:val="18"/>
          <w:szCs w:val="18"/>
          <w:b w:val="1"/>
          <w:bCs w:val="1"/>
          <w:color w:val="171718"/>
        </w:rPr>
        <w:t>nicely above $500 million for 2026 and well above $1 billion for 2027.”</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Quarterly Financial Summary</w:t>
      </w:r>
    </w:p>
    <w:p>
      <w:pPr>
        <w:spacing w:after="0" w:line="372"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U.S. GAAP</w:t>
            </w:r>
          </w:p>
        </w:tc>
        <w:tc>
          <w:tcPr>
            <w:tcW w:w="540" w:type="dxa"/>
            <w:vAlign w:val="bottom"/>
            <w:tcBorders>
              <w:top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Q1</w:t>
            </w:r>
          </w:p>
        </w:tc>
        <w:tc>
          <w:tcPr>
            <w:tcW w:w="62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2026</w:t>
            </w:r>
          </w:p>
        </w:tc>
        <w:tc>
          <w:tcPr>
            <w:tcW w:w="1140" w:type="dxa"/>
            <w:vAlign w:val="bottom"/>
            <w:tcBorders>
              <w:top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Q4 2025</w:t>
            </w:r>
          </w:p>
        </w:tc>
        <w:tc>
          <w:tcPr>
            <w:tcW w:w="1160" w:type="dxa"/>
            <w:vAlign w:val="bottom"/>
            <w:tcBorders>
              <w:top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Q1 2025</w:t>
            </w:r>
          </w:p>
        </w:tc>
        <w:tc>
          <w:tcPr>
            <w:tcW w:w="11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Q/Q</w:t>
            </w:r>
          </w:p>
        </w:tc>
        <w:tc>
          <w:tcPr>
            <w:tcW w:w="138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Y/Y</w:t>
            </w: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(US$ m, except per share data)</w:t>
            </w:r>
          </w:p>
        </w:tc>
        <w:tc>
          <w:tcPr>
            <w:tcW w:w="540" w:type="dxa"/>
            <w:vAlign w:val="bottom"/>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7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Net Revenues</w:t>
            </w:r>
          </w:p>
        </w:tc>
        <w:tc>
          <w:tcPr>
            <w:tcW w:w="116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$3,095</w:t>
            </w:r>
          </w:p>
        </w:tc>
        <w:tc>
          <w:tcPr>
            <w:tcW w:w="11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$3,329</w:t>
            </w: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$2,517</w:t>
            </w:r>
          </w:p>
        </w:tc>
        <w:tc>
          <w:tcPr>
            <w:tcW w:w="11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-7.0%</w:t>
            </w:r>
          </w:p>
        </w:tc>
        <w:tc>
          <w:tcPr>
            <w:tcW w:w="13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gridSpan w:val="2"/>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Gross Profit</w:t>
            </w:r>
          </w:p>
        </w:tc>
        <w:tc>
          <w:tcPr>
            <w:tcW w:w="116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$1,045</w:t>
            </w:r>
          </w:p>
        </w:tc>
        <w:tc>
          <w:tcPr>
            <w:tcW w:w="11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$1,172</w:t>
            </w:r>
          </w:p>
        </w:tc>
        <w:tc>
          <w:tcPr>
            <w:tcW w:w="11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$841</w:t>
            </w:r>
          </w:p>
        </w:tc>
        <w:tc>
          <w:tcPr>
            <w:tcW w:w="11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-10.9%</w:t>
            </w:r>
          </w:p>
        </w:tc>
        <w:tc>
          <w:tcPr>
            <w:tcW w:w="13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45"/>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82" w:hanging="78"/>
        <w:spacing w:after="0"/>
        <w:tabs>
          <w:tab w:leader="none" w:pos="182"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i w:val="1"/>
          <w:iCs w:val="1"/>
          <w:color w:val="auto"/>
        </w:rPr>
        <w:t>Non-U.S. GAAP. See Appendix for reconciliation to U.S. GAAP and information explaining why the Company believes these measures are important.</w:t>
      </w:r>
    </w:p>
    <w:p>
      <w:pPr>
        <w:spacing w:after="0" w:line="200" w:lineRule="exact"/>
        <w:rPr>
          <w:sz w:val="20"/>
          <w:szCs w:val="20"/>
          <w:color w:val="auto"/>
        </w:rPr>
      </w:pPr>
    </w:p>
    <w:p>
      <w:pPr>
        <w:spacing w:after="0" w:line="227" w:lineRule="exact"/>
        <w:rPr>
          <w:sz w:val="20"/>
          <w:szCs w:val="20"/>
          <w:color w:val="auto"/>
        </w:rPr>
      </w:pPr>
    </w:p>
    <w:p>
      <w:pPr>
        <w:jc w:val="center"/>
        <w:ind w:right="338"/>
        <w:spacing w:after="0"/>
        <w:rPr>
          <w:sz w:val="20"/>
          <w:szCs w:val="20"/>
          <w:color w:val="auto"/>
        </w:rPr>
      </w:pPr>
      <w:r>
        <w:rPr>
          <w:rFonts w:ascii="Arial" w:cs="Arial" w:eastAsia="Arial" w:hAnsi="Arial"/>
          <w:sz w:val="18"/>
          <w:szCs w:val="18"/>
          <w:color w:val="002052"/>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2"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-43.8%</w:t>
            </w:r>
          </w:p>
        </w:tc>
        <w:tc>
          <w:tcPr>
            <w:tcW w:w="1080" w:type="dxa"/>
            <w:vAlign w:val="bottom"/>
          </w:tcPr>
          <w:p>
            <w:pPr>
              <w:jc w:val="right"/>
              <w:spacing w:after="0"/>
              <w:rPr>
                <w:sz w:val="20"/>
                <w:szCs w:val="20"/>
                <w:color w:val="auto"/>
              </w:rPr>
            </w:pPr>
            <w:r>
              <w:rPr>
                <w:rFonts w:ascii="Arial" w:cs="Arial" w:eastAsia="Arial" w:hAnsi="Arial"/>
                <w:sz w:val="18"/>
                <w:szCs w:val="18"/>
                <w:color w:val="auto"/>
              </w:rPr>
              <w:t>2,327.6%</w:t>
            </w:r>
          </w:p>
        </w:tc>
      </w:tr>
      <w:tr>
        <w:trPr>
          <w:trHeight w:val="305"/>
        </w:trPr>
        <w:tc>
          <w:tcPr>
            <w:tcW w:w="28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2.3%</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3.8%</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0.1%</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-150bps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220bps</w:t>
            </w:r>
          </w:p>
        </w:tc>
      </w:tr>
      <w:tr>
        <w:trPr>
          <w:trHeight w:val="289"/>
        </w:trPr>
        <w:tc>
          <w:tcPr>
            <w:tcW w:w="2840" w:type="dxa"/>
            <w:vAlign w:val="bottom"/>
          </w:tcPr>
          <w:p>
            <w:pPr>
              <w:spacing w:after="0"/>
              <w:rPr>
                <w:sz w:val="20"/>
                <w:szCs w:val="20"/>
                <w:color w:val="auto"/>
              </w:rPr>
            </w:pPr>
            <w:r>
              <w:rPr>
                <w:rFonts w:ascii="Arial" w:cs="Arial" w:eastAsia="Arial" w:hAnsi="Arial"/>
                <w:sz w:val="18"/>
                <w:szCs w:val="18"/>
                <w:color w:val="auto"/>
              </w:rPr>
              <w:t>Net Income (Loss)</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r>
    </w:tbl>
    <w:p>
      <w:pPr>
        <w:sectPr>
          <w:pgSz w:w="11900" w:h="16922" w:orient="portrait"/>
          <w:cols w:equalWidth="0" w:num="1">
            <w:col w:w="9762"/>
          </w:cols>
          <w:pgMar w:left="1258" w:top="1440" w:right="87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20" w:type="dxa"/>
            <w:vAlign w:val="bottom"/>
            <w:tcBorders>
              <w:top w:val="single" w:sz="8" w:color="auto"/>
            </w:tcBorders>
            <w:shd w:val="clear" w:color="auto" w:fill="000000"/>
          </w:tcPr>
          <w:p>
            <w:pPr>
              <w:spacing w:after="0"/>
              <w:rPr>
                <w:sz w:val="17"/>
                <w:szCs w:val="17"/>
                <w:color w:val="auto"/>
              </w:rPr>
            </w:pPr>
          </w:p>
        </w:tc>
        <w:tc>
          <w:tcPr>
            <w:tcW w:w="373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b w:val="1"/>
                <w:bCs w:val="1"/>
                <w:color w:val="auto"/>
              </w:rPr>
              <w:t>Gross Margin</w:t>
            </w:r>
          </w:p>
        </w:tc>
        <w:tc>
          <w:tcPr>
            <w:tcW w:w="25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right"/>
              <w:ind w:right="117"/>
              <w:spacing w:after="0" w:line="202" w:lineRule="exact"/>
              <w:rPr>
                <w:sz w:val="20"/>
                <w:szCs w:val="20"/>
                <w:color w:val="auto"/>
              </w:rPr>
            </w:pPr>
            <w:r>
              <w:rPr>
                <w:rFonts w:ascii="Arial" w:cs="Arial" w:eastAsia="Arial" w:hAnsi="Arial"/>
                <w:sz w:val="18"/>
                <w:szCs w:val="18"/>
                <w:b w:val="1"/>
                <w:bCs w:val="1"/>
                <w:color w:val="auto"/>
              </w:rPr>
              <w:t>33.8%</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35 2%</w:t>
            </w:r>
          </w:p>
        </w:tc>
        <w:tc>
          <w:tcPr>
            <w:tcW w:w="6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33.4%</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-140bps</w:t>
            </w: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right"/>
              <w:ind w:right="134"/>
              <w:spacing w:after="0" w:line="202" w:lineRule="exact"/>
              <w:rPr>
                <w:sz w:val="20"/>
                <w:szCs w:val="20"/>
                <w:color w:val="auto"/>
              </w:rPr>
            </w:pPr>
            <w:r>
              <w:rPr>
                <w:rFonts w:ascii="Arial" w:cs="Arial" w:eastAsia="Arial" w:hAnsi="Arial"/>
                <w:sz w:val="18"/>
                <w:szCs w:val="18"/>
                <w:b w:val="1"/>
                <w:bCs w:val="1"/>
                <w:color w:val="auto"/>
              </w:rPr>
              <w:t>40bps</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shd w:val="clear" w:color="auto" w:fill="000000"/>
          </w:tcPr>
          <w:p>
            <w:pPr>
              <w:spacing w:after="0"/>
              <w:rPr>
                <w:sz w:val="4"/>
                <w:szCs w:val="4"/>
                <w:color w:val="auto"/>
              </w:rPr>
            </w:pPr>
          </w:p>
        </w:tc>
        <w:tc>
          <w:tcPr>
            <w:tcW w:w="3730" w:type="dxa"/>
            <w:vAlign w:val="bottom"/>
            <w:tcBorders>
              <w:bottom w:val="single" w:sz="8" w:color="auto"/>
            </w:tcBorders>
            <w:gridSpan w:val="2"/>
          </w:tcPr>
          <w:p>
            <w:pPr>
              <w:ind w:left="100"/>
              <w:spacing w:after="0" w:line="54" w:lineRule="exact"/>
              <w:rPr>
                <w:sz w:val="20"/>
                <w:szCs w:val="20"/>
                <w:color w:val="auto"/>
              </w:rPr>
            </w:pPr>
            <w:r>
              <w:rPr>
                <w:rFonts w:ascii="Arial" w:cs="Arial" w:eastAsia="Arial" w:hAnsi="Arial"/>
                <w:sz w:val="6"/>
                <w:szCs w:val="6"/>
                <w:b w:val="1"/>
                <w:bCs w:val="1"/>
                <w:color w:val="auto"/>
              </w:rPr>
              <w:t>Diluted Earnings Per Share</w:t>
            </w:r>
          </w:p>
        </w:tc>
        <w:tc>
          <w:tcPr>
            <w:tcW w:w="25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jc w:val="right"/>
              <w:ind w:right="117"/>
              <w:spacing w:after="0" w:line="54" w:lineRule="exact"/>
              <w:rPr>
                <w:sz w:val="20"/>
                <w:szCs w:val="20"/>
                <w:color w:val="auto"/>
              </w:rPr>
            </w:pPr>
            <w:r>
              <w:rPr>
                <w:rFonts w:ascii="Arial" w:cs="Arial" w:eastAsia="Arial" w:hAnsi="Arial"/>
                <w:sz w:val="6"/>
                <w:szCs w:val="6"/>
                <w:b w:val="1"/>
                <w:bCs w:val="1"/>
                <w:color w:val="auto"/>
              </w:rPr>
              <w:t>$0.04</w:t>
            </w: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jc w:val="right"/>
              <w:spacing w:after="0" w:line="54" w:lineRule="exact"/>
              <w:rPr>
                <w:sz w:val="20"/>
                <w:szCs w:val="20"/>
                <w:color w:val="auto"/>
              </w:rPr>
            </w:pPr>
            <w:r>
              <w:rPr>
                <w:rFonts w:ascii="Arial" w:cs="Arial" w:eastAsia="Arial" w:hAnsi="Arial"/>
                <w:sz w:val="6"/>
                <w:szCs w:val="6"/>
                <w:b w:val="1"/>
                <w:bCs w:val="1"/>
                <w:color w:val="auto"/>
              </w:rPr>
              <w:t>$(0.03)</w:t>
            </w:r>
          </w:p>
        </w:tc>
        <w:tc>
          <w:tcPr>
            <w:tcW w:w="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gridSpan w:val="2"/>
          </w:tcPr>
          <w:p>
            <w:pPr>
              <w:jc w:val="right"/>
              <w:spacing w:after="0" w:line="54" w:lineRule="exact"/>
              <w:rPr>
                <w:sz w:val="20"/>
                <w:szCs w:val="20"/>
                <w:color w:val="auto"/>
              </w:rPr>
            </w:pPr>
            <w:r>
              <w:rPr>
                <w:rFonts w:ascii="Arial" w:cs="Arial" w:eastAsia="Arial" w:hAnsi="Arial"/>
                <w:sz w:val="6"/>
                <w:szCs w:val="6"/>
                <w:b w:val="1"/>
                <w:bCs w:val="1"/>
                <w:color w:val="auto"/>
              </w:rPr>
              <w:t>$0.06</w:t>
            </w: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gridSpan w:val="2"/>
          </w:tcPr>
          <w:p>
            <w:pPr>
              <w:jc w:val="right"/>
              <w:ind w:right="200"/>
              <w:spacing w:after="0" w:line="54" w:lineRule="exact"/>
              <w:rPr>
                <w:sz w:val="20"/>
                <w:szCs w:val="20"/>
                <w:color w:val="auto"/>
              </w:rPr>
            </w:pPr>
            <w:r>
              <w:rPr>
                <w:rFonts w:ascii="Arial" w:cs="Arial" w:eastAsia="Arial" w:hAnsi="Arial"/>
                <w:sz w:val="6"/>
                <w:szCs w:val="6"/>
                <w:b w:val="1"/>
                <w:bCs w:val="1"/>
                <w:color w:val="auto"/>
              </w:rPr>
              <w:t>-</w:t>
            </w: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jc w:val="right"/>
              <w:ind w:right="134"/>
              <w:spacing w:after="0" w:line="54" w:lineRule="exact"/>
              <w:rPr>
                <w:sz w:val="20"/>
                <w:szCs w:val="20"/>
                <w:color w:val="auto"/>
              </w:rPr>
            </w:pPr>
            <w:r>
              <w:rPr>
                <w:rFonts w:ascii="Arial" w:cs="Arial" w:eastAsia="Arial" w:hAnsi="Arial"/>
                <w:sz w:val="6"/>
                <w:szCs w:val="6"/>
                <w:b w:val="1"/>
                <w:bCs w:val="1"/>
                <w:color w:val="auto"/>
              </w:rPr>
              <w:t>-33.3%</w:t>
            </w:r>
          </w:p>
        </w:tc>
        <w:tc>
          <w:tcPr>
            <w:tcW w:w="0" w:type="dxa"/>
            <w:vAlign w:val="bottom"/>
          </w:tcPr>
          <w:p>
            <w:pPr>
              <w:spacing w:after="0"/>
              <w:rPr>
                <w:sz w:val="1"/>
                <w:szCs w:val="1"/>
                <w:color w:val="auto"/>
              </w:rPr>
            </w:pPr>
          </w:p>
        </w:tc>
      </w:tr>
      <w:tr>
        <w:trPr>
          <w:trHeight w:val="277"/>
        </w:trPr>
        <w:tc>
          <w:tcPr>
            <w:tcW w:w="20" w:type="dxa"/>
            <w:vAlign w:val="bottom"/>
            <w:shd w:val="clear" w:color="auto" w:fill="000000"/>
          </w:tcPr>
          <w:p>
            <w:pPr>
              <w:spacing w:after="0"/>
              <w:rPr>
                <w:sz w:val="24"/>
                <w:szCs w:val="24"/>
                <w:color w:val="auto"/>
              </w:rPr>
            </w:pPr>
          </w:p>
        </w:tc>
        <w:tc>
          <w:tcPr>
            <w:tcW w:w="373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Non-U.S. GAAP</w:t>
            </w:r>
            <w:r>
              <w:rPr>
                <w:rFonts w:ascii="Arial" w:cs="Arial" w:eastAsia="Arial" w:hAnsi="Arial"/>
                <w:sz w:val="23"/>
                <w:szCs w:val="23"/>
                <w:b w:val="1"/>
                <w:bCs w:val="1"/>
                <w:color w:val="auto"/>
                <w:vertAlign w:val="superscript"/>
              </w:rPr>
              <w:t>1</w:t>
            </w:r>
          </w:p>
        </w:tc>
        <w:tc>
          <w:tcPr>
            <w:tcW w:w="250" w:type="dxa"/>
            <w:vAlign w:val="bottom"/>
          </w:tcPr>
          <w:p>
            <w:pPr>
              <w:spacing w:after="0"/>
              <w:rPr>
                <w:sz w:val="24"/>
                <w:szCs w:val="24"/>
                <w:color w:val="auto"/>
              </w:rPr>
            </w:pPr>
          </w:p>
        </w:tc>
        <w:tc>
          <w:tcPr>
            <w:tcW w:w="92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18"/>
                <w:szCs w:val="18"/>
                <w:b w:val="1"/>
                <w:bCs w:val="1"/>
                <w:color w:val="auto"/>
              </w:rPr>
              <w:t>Q1 2026</w:t>
            </w:r>
          </w:p>
        </w:tc>
        <w:tc>
          <w:tcPr>
            <w:tcW w:w="1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Q4 2025</w:t>
            </w:r>
          </w:p>
        </w:tc>
        <w:tc>
          <w:tcPr>
            <w:tcW w:w="60" w:type="dxa"/>
            <w:vAlign w:val="bottom"/>
            <w:tcBorders>
              <w:right w:val="single" w:sz="8" w:color="auto"/>
            </w:tcBorders>
          </w:tcPr>
          <w:p>
            <w:pPr>
              <w:spacing w:after="0"/>
              <w:rPr>
                <w:sz w:val="24"/>
                <w:szCs w:val="2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Q1 2025</w:t>
            </w:r>
          </w:p>
        </w:tc>
        <w:tc>
          <w:tcPr>
            <w:tcW w:w="80" w:type="dxa"/>
            <w:vAlign w:val="bottom"/>
          </w:tcPr>
          <w:p>
            <w:pPr>
              <w:spacing w:after="0"/>
              <w:rPr>
                <w:sz w:val="24"/>
                <w:szCs w:val="24"/>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Q/Q</w:t>
            </w:r>
          </w:p>
        </w:tc>
        <w:tc>
          <w:tcPr>
            <w:tcW w:w="480" w:type="dxa"/>
            <w:vAlign w:val="bottom"/>
          </w:tcPr>
          <w:p>
            <w:pPr>
              <w:spacing w:after="0"/>
              <w:rPr>
                <w:sz w:val="24"/>
                <w:szCs w:val="24"/>
                <w:color w:val="auto"/>
              </w:rPr>
            </w:pPr>
          </w:p>
        </w:tc>
        <w:tc>
          <w:tcPr>
            <w:tcW w:w="92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b w:val="1"/>
                <w:bCs w:val="1"/>
                <w:color w:val="auto"/>
              </w:rPr>
              <w:t>Y/Y</w:t>
            </w:r>
          </w:p>
        </w:tc>
        <w:tc>
          <w:tcPr>
            <w:tcW w:w="0" w:type="dxa"/>
            <w:vAlign w:val="bottom"/>
          </w:tcPr>
          <w:p>
            <w:pPr>
              <w:spacing w:after="0"/>
              <w:rPr>
                <w:sz w:val="1"/>
                <w:szCs w:val="1"/>
                <w:color w:val="auto"/>
              </w:rPr>
            </w:pPr>
          </w:p>
        </w:tc>
      </w:tr>
      <w:tr>
        <w:trPr>
          <w:trHeight w:val="147"/>
        </w:trPr>
        <w:tc>
          <w:tcPr>
            <w:tcW w:w="20" w:type="dxa"/>
            <w:vAlign w:val="bottom"/>
            <w:shd w:val="clear" w:color="auto" w:fill="000000"/>
          </w:tcPr>
          <w:p>
            <w:pPr>
              <w:spacing w:after="0"/>
              <w:rPr>
                <w:sz w:val="12"/>
                <w:szCs w:val="12"/>
                <w:color w:val="auto"/>
              </w:rPr>
            </w:pPr>
          </w:p>
        </w:tc>
        <w:tc>
          <w:tcPr>
            <w:tcW w:w="3730" w:type="dxa"/>
            <w:vAlign w:val="bottom"/>
            <w:gridSpan w:val="2"/>
            <w:vMerge w:val="restart"/>
          </w:tcPr>
          <w:p>
            <w:pPr>
              <w:ind w:left="100"/>
              <w:spacing w:after="0"/>
              <w:rPr>
                <w:sz w:val="20"/>
                <w:szCs w:val="20"/>
                <w:color w:val="auto"/>
              </w:rPr>
            </w:pPr>
            <w:r>
              <w:rPr>
                <w:rFonts w:ascii="Arial" w:cs="Arial" w:eastAsia="Arial" w:hAnsi="Arial"/>
                <w:sz w:val="18"/>
                <w:szCs w:val="18"/>
                <w:color w:val="auto"/>
              </w:rPr>
              <w:t>(US$ m, except per share data)</w:t>
            </w:r>
          </w:p>
        </w:tc>
        <w:tc>
          <w:tcPr>
            <w:tcW w:w="25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right w:val="single" w:sz="8" w:color="auto"/>
            </w:tcBorders>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000000"/>
          </w:tcPr>
          <w:p>
            <w:pPr>
              <w:spacing w:after="0"/>
              <w:rPr>
                <w:sz w:val="8"/>
                <w:szCs w:val="8"/>
                <w:color w:val="auto"/>
              </w:rPr>
            </w:pPr>
          </w:p>
        </w:tc>
        <w:tc>
          <w:tcPr>
            <w:tcW w:w="3730" w:type="dxa"/>
            <w:vAlign w:val="bottom"/>
            <w:gridSpan w:val="2"/>
            <w:vMerge w:val="continue"/>
          </w:tcPr>
          <w:p>
            <w:pPr>
              <w:spacing w:after="0"/>
              <w:rPr>
                <w:sz w:val="8"/>
                <w:szCs w:val="8"/>
                <w:color w:val="auto"/>
              </w:rPr>
            </w:pPr>
          </w:p>
        </w:tc>
        <w:tc>
          <w:tcPr>
            <w:tcW w:w="25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shd w:val="clear" w:color="auto" w:fill="000000"/>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670" w:type="dxa"/>
            <w:vAlign w:val="bottom"/>
            <w:tcBorders>
              <w:bottom w:val="single" w:sz="8" w:color="auto"/>
            </w:tcBorders>
          </w:tcPr>
          <w:p>
            <w:pPr>
              <w:spacing w:after="0"/>
              <w:rPr>
                <w:sz w:val="4"/>
                <w:szCs w:val="4"/>
                <w:color w:val="auto"/>
              </w:rPr>
            </w:pPr>
          </w:p>
        </w:tc>
        <w:tc>
          <w:tcPr>
            <w:tcW w:w="25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000000"/>
          </w:tcPr>
          <w:p>
            <w:pPr>
              <w:spacing w:after="0"/>
              <w:rPr>
                <w:sz w:val="20"/>
                <w:szCs w:val="20"/>
                <w:color w:val="auto"/>
              </w:rPr>
            </w:pPr>
          </w:p>
        </w:tc>
        <w:tc>
          <w:tcPr>
            <w:tcW w:w="3730" w:type="dxa"/>
            <w:vAlign w:val="bottom"/>
            <w:gridSpan w:val="2"/>
          </w:tcPr>
          <w:p>
            <w:pPr>
              <w:ind w:left="100"/>
              <w:spacing w:after="0"/>
              <w:rPr>
                <w:sz w:val="20"/>
                <w:szCs w:val="20"/>
                <w:color w:val="auto"/>
              </w:rPr>
            </w:pPr>
            <w:r>
              <w:rPr>
                <w:rFonts w:ascii="Arial" w:cs="Arial" w:eastAsia="Arial" w:hAnsi="Arial"/>
                <w:sz w:val="18"/>
                <w:szCs w:val="18"/>
                <w:color w:val="auto"/>
              </w:rPr>
              <w:t>Gross Profit</w:t>
            </w:r>
          </w:p>
        </w:tc>
        <w:tc>
          <w:tcPr>
            <w:tcW w:w="250" w:type="dxa"/>
            <w:vAlign w:val="bottom"/>
          </w:tcPr>
          <w:p>
            <w:pPr>
              <w:spacing w:after="0"/>
              <w:rPr>
                <w:sz w:val="20"/>
                <w:szCs w:val="20"/>
                <w:color w:val="auto"/>
              </w:rPr>
            </w:pPr>
          </w:p>
        </w:tc>
        <w:tc>
          <w:tcPr>
            <w:tcW w:w="920" w:type="dxa"/>
            <w:vAlign w:val="bottom"/>
            <w:tcBorders>
              <w:right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1,056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60" w:type="dxa"/>
            <w:vAlign w:val="bottom"/>
            <w:tcBorders>
              <w:right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841</w:t>
            </w:r>
          </w:p>
        </w:tc>
        <w:tc>
          <w:tcPr>
            <w:tcW w:w="8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480" w:type="dxa"/>
            <w:vAlign w:val="bottom"/>
          </w:tcPr>
          <w:p>
            <w:pPr>
              <w:spacing w:after="0"/>
              <w:rPr>
                <w:sz w:val="20"/>
                <w:szCs w:val="20"/>
                <w:color w:val="auto"/>
              </w:rPr>
            </w:pP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shd w:val="clear" w:color="auto" w:fill="000000"/>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67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000000"/>
          </w:tcPr>
          <w:p>
            <w:pPr>
              <w:spacing w:after="0"/>
              <w:rPr>
                <w:sz w:val="20"/>
                <w:szCs w:val="20"/>
                <w:color w:val="auto"/>
              </w:rPr>
            </w:pPr>
          </w:p>
        </w:tc>
        <w:tc>
          <w:tcPr>
            <w:tcW w:w="373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 Margin</w:t>
            </w:r>
          </w:p>
        </w:tc>
        <w:tc>
          <w:tcPr>
            <w:tcW w:w="250" w:type="dxa"/>
            <w:vAlign w:val="bottom"/>
          </w:tcPr>
          <w:p>
            <w:pPr>
              <w:spacing w:after="0"/>
              <w:rPr>
                <w:sz w:val="20"/>
                <w:szCs w:val="20"/>
                <w:color w:val="auto"/>
              </w:rPr>
            </w:pPr>
          </w:p>
        </w:tc>
        <w:tc>
          <w:tcPr>
            <w:tcW w:w="920" w:type="dxa"/>
            <w:vAlign w:val="bottom"/>
            <w:tcBorders>
              <w:right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35.2%</w:t>
            </w:r>
          </w:p>
        </w:tc>
        <w:tc>
          <w:tcPr>
            <w:tcW w:w="60" w:type="dxa"/>
            <w:vAlign w:val="bottom"/>
            <w:tcBorders>
              <w:right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33.4%</w:t>
            </w:r>
          </w:p>
        </w:tc>
        <w:tc>
          <w:tcPr>
            <w:tcW w:w="8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-110bps</w:t>
            </w:r>
          </w:p>
        </w:tc>
        <w:tc>
          <w:tcPr>
            <w:tcW w:w="480" w:type="dxa"/>
            <w:vAlign w:val="bottom"/>
          </w:tcPr>
          <w:p>
            <w:pPr>
              <w:spacing w:after="0"/>
              <w:rPr>
                <w:sz w:val="20"/>
                <w:szCs w:val="20"/>
                <w:color w:val="auto"/>
              </w:rPr>
            </w:pP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70bps</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shd w:val="clear" w:color="auto" w:fill="000000"/>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670" w:type="dxa"/>
            <w:vAlign w:val="bottom"/>
            <w:tcBorders>
              <w:bottom w:val="single" w:sz="8" w:color="auto"/>
            </w:tcBorders>
          </w:tcPr>
          <w:p>
            <w:pPr>
              <w:spacing w:after="0"/>
              <w:rPr>
                <w:sz w:val="3"/>
                <w:szCs w:val="3"/>
                <w:color w:val="auto"/>
              </w:rPr>
            </w:pPr>
          </w:p>
        </w:tc>
        <w:tc>
          <w:tcPr>
            <w:tcW w:w="25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000000"/>
          </w:tcPr>
          <w:p>
            <w:pPr>
              <w:spacing w:after="0"/>
              <w:rPr>
                <w:sz w:val="20"/>
                <w:szCs w:val="20"/>
                <w:color w:val="auto"/>
              </w:rPr>
            </w:pPr>
          </w:p>
        </w:tc>
        <w:tc>
          <w:tcPr>
            <w:tcW w:w="3730" w:type="dxa"/>
            <w:vAlign w:val="bottom"/>
            <w:gridSpan w:val="2"/>
          </w:tcPr>
          <w:p>
            <w:pPr>
              <w:ind w:left="100"/>
              <w:spacing w:after="0"/>
              <w:rPr>
                <w:sz w:val="20"/>
                <w:szCs w:val="20"/>
                <w:color w:val="auto"/>
              </w:rPr>
            </w:pPr>
            <w:r>
              <w:rPr>
                <w:rFonts w:ascii="Arial" w:cs="Arial" w:eastAsia="Arial" w:hAnsi="Arial"/>
                <w:sz w:val="18"/>
                <w:szCs w:val="18"/>
                <w:color w:val="auto"/>
              </w:rPr>
              <w:t>Operating Income</w:t>
            </w:r>
          </w:p>
        </w:tc>
        <w:tc>
          <w:tcPr>
            <w:tcW w:w="250" w:type="dxa"/>
            <w:vAlign w:val="bottom"/>
          </w:tcPr>
          <w:p>
            <w:pPr>
              <w:spacing w:after="0"/>
              <w:rPr>
                <w:sz w:val="20"/>
                <w:szCs w:val="20"/>
                <w:color w:val="auto"/>
              </w:rPr>
            </w:pPr>
          </w:p>
        </w:tc>
        <w:tc>
          <w:tcPr>
            <w:tcW w:w="920" w:type="dxa"/>
            <w:vAlign w:val="bottom"/>
            <w:tcBorders>
              <w:right w:val="single" w:sz="8" w:color="auto"/>
            </w:tcBorders>
          </w:tcPr>
          <w:p>
            <w:pPr>
              <w:jc w:val="right"/>
              <w:ind w:right="117"/>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Borders>
              <w:right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-35.7%</w:t>
            </w:r>
          </w:p>
        </w:tc>
        <w:tc>
          <w:tcPr>
            <w:tcW w:w="1400" w:type="dxa"/>
            <w:vAlign w:val="bottom"/>
            <w:tcBorders>
              <w:right w:val="single" w:sz="8" w:color="auto"/>
            </w:tcBorders>
            <w:gridSpan w:val="2"/>
          </w:tcPr>
          <w:p>
            <w:pPr>
              <w:jc w:val="right"/>
              <w:ind w:right="134"/>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000000"/>
          </w:tcPr>
          <w:p>
            <w:pPr>
              <w:spacing w:after="0"/>
              <w:rPr>
                <w:sz w:val="19"/>
                <w:szCs w:val="19"/>
                <w:color w:val="auto"/>
              </w:rPr>
            </w:pPr>
          </w:p>
        </w:tc>
        <w:tc>
          <w:tcPr>
            <w:tcW w:w="373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Operating Margin</w:t>
            </w:r>
          </w:p>
        </w:tc>
        <w:tc>
          <w:tcPr>
            <w:tcW w:w="25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-250bps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510bps</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shd w:val="clear" w:color="auto" w:fill="000000"/>
          </w:tcPr>
          <w:p>
            <w:pPr>
              <w:spacing w:after="0"/>
              <w:rPr>
                <w:sz w:val="24"/>
                <w:szCs w:val="24"/>
                <w:color w:val="auto"/>
              </w:rPr>
            </w:pPr>
          </w:p>
        </w:tc>
        <w:tc>
          <w:tcPr>
            <w:tcW w:w="373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Net Income</w:t>
            </w:r>
          </w:p>
        </w:tc>
        <w:tc>
          <w:tcPr>
            <w:tcW w:w="25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22.0%</w:t>
            </w: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shd w:val="clear" w:color="auto" w:fill="000000"/>
          </w:tcPr>
          <w:p>
            <w:pPr>
              <w:spacing w:after="0"/>
              <w:rPr>
                <w:sz w:val="24"/>
                <w:szCs w:val="24"/>
                <w:color w:val="auto"/>
              </w:rPr>
            </w:pPr>
          </w:p>
        </w:tc>
        <w:tc>
          <w:tcPr>
            <w:tcW w:w="373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Diluted Earnings Per Share</w:t>
            </w:r>
          </w:p>
        </w:tc>
        <w:tc>
          <w:tcPr>
            <w:tcW w:w="25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$0.13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$0.07</w:t>
            </w: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18.2%</w:t>
            </w: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85.7%</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shd w:val="clear" w:color="auto" w:fill="000000"/>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70" w:type="dxa"/>
            <w:vAlign w:val="bottom"/>
            <w:tcBorders>
              <w:bottom w:val="single" w:sz="8" w:color="auto"/>
            </w:tcBorders>
          </w:tcPr>
          <w:p>
            <w:pPr>
              <w:spacing w:after="0"/>
              <w:rPr>
                <w:sz w:val="24"/>
                <w:szCs w:val="24"/>
                <w:color w:val="auto"/>
              </w:rPr>
            </w:pPr>
          </w:p>
        </w:tc>
        <w:tc>
          <w:tcPr>
            <w:tcW w:w="25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000000"/>
          </w:tcPr>
          <w:p>
            <w:pPr>
              <w:spacing w:after="0"/>
              <w:rPr>
                <w:sz w:val="15"/>
                <w:szCs w:val="15"/>
                <w:color w:val="auto"/>
              </w:rPr>
            </w:pPr>
          </w:p>
        </w:tc>
        <w:tc>
          <w:tcPr>
            <w:tcW w:w="373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First Quarter 2026 Summary Review</w:t>
            </w:r>
          </w:p>
        </w:tc>
        <w:tc>
          <w:tcPr>
            <w:tcW w:w="25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auto"/>
              <w:bottom w:val="single" w:sz="8" w:color="auto"/>
            </w:tcBorders>
            <w:shd w:val="clear" w:color="auto" w:fill="000000"/>
          </w:tcPr>
          <w:p>
            <w:pPr>
              <w:spacing w:after="0"/>
              <w:rPr>
                <w:sz w:val="6"/>
                <w:szCs w:val="6"/>
                <w:color w:val="auto"/>
              </w:rPr>
            </w:pPr>
          </w:p>
        </w:tc>
        <w:tc>
          <w:tcPr>
            <w:tcW w:w="3060" w:type="dxa"/>
            <w:vAlign w:val="bottom"/>
            <w:tcBorders>
              <w:top w:val="single" w:sz="8" w:color="auto"/>
              <w:bottom w:val="single" w:sz="8" w:color="auto"/>
            </w:tcBorders>
          </w:tcPr>
          <w:p>
            <w:pPr>
              <w:spacing w:after="0"/>
              <w:rPr>
                <w:sz w:val="6"/>
                <w:szCs w:val="6"/>
                <w:color w:val="auto"/>
              </w:rPr>
            </w:pPr>
          </w:p>
        </w:tc>
        <w:tc>
          <w:tcPr>
            <w:tcW w:w="670" w:type="dxa"/>
            <w:vAlign w:val="bottom"/>
            <w:tcBorders>
              <w:bottom w:val="single" w:sz="8" w:color="auto"/>
            </w:tcBorders>
          </w:tcPr>
          <w:p>
            <w:pPr>
              <w:spacing w:after="0"/>
              <w:rPr>
                <w:sz w:val="6"/>
                <w:szCs w:val="6"/>
                <w:color w:val="auto"/>
              </w:rPr>
            </w:pPr>
          </w:p>
        </w:tc>
        <w:tc>
          <w:tcPr>
            <w:tcW w:w="25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shd w:val="clear" w:color="auto" w:fill="000000"/>
          </w:tcPr>
          <w:p>
            <w:pPr>
              <w:spacing w:after="0"/>
              <w:rPr>
                <w:sz w:val="24"/>
                <w:szCs w:val="24"/>
                <w:color w:val="auto"/>
              </w:rPr>
            </w:pPr>
          </w:p>
        </w:tc>
        <w:tc>
          <w:tcPr>
            <w:tcW w:w="3730" w:type="dxa"/>
            <w:vAlign w:val="bottom"/>
            <w:tcBorders>
              <w:bottom w:val="single" w:sz="8" w:color="auto"/>
            </w:tcBorders>
            <w:gridSpan w:val="2"/>
          </w:tcPr>
          <w:p>
            <w:pPr>
              <w:spacing w:after="0"/>
              <w:rPr>
                <w:sz w:val="24"/>
                <w:szCs w:val="24"/>
                <w:color w:val="auto"/>
              </w:rPr>
            </w:pPr>
          </w:p>
        </w:tc>
        <w:tc>
          <w:tcPr>
            <w:tcW w:w="117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900" w:type="dxa"/>
            <w:vAlign w:val="bottom"/>
            <w:tcBorders>
              <w:left w:val="single" w:sz="8" w:color="auto"/>
              <w:bottom w:val="single" w:sz="8" w:color="auto"/>
              <w:right w:val="single" w:sz="8" w:color="auto"/>
            </w:tcBorders>
            <w:gridSpan w:val="4"/>
          </w:tcPr>
          <w:p>
            <w:pPr>
              <w:ind w:left="120"/>
              <w:spacing w:after="0" w:line="236" w:lineRule="exact"/>
              <w:rPr>
                <w:sz w:val="20"/>
                <w:szCs w:val="20"/>
                <w:color w:val="auto"/>
              </w:rPr>
            </w:pPr>
            <w:r>
              <w:rPr>
                <w:rFonts w:ascii="Arial" w:cs="Arial" w:eastAsia="Arial" w:hAnsi="Arial"/>
                <w:sz w:val="18"/>
                <w:szCs w:val="18"/>
                <w:b w:val="1"/>
                <w:bCs w:val="1"/>
                <w:color w:val="auto"/>
              </w:rPr>
              <w:t>Net Revenues by Reportable Segment</w:t>
            </w:r>
            <w:r>
              <w:rPr>
                <w:rFonts w:ascii="Arial" w:cs="Arial" w:eastAsia="Arial" w:hAnsi="Arial"/>
                <w:sz w:val="18"/>
                <w:szCs w:val="18"/>
                <w:color w:val="auto"/>
              </w:rPr>
              <w:t>(US$ m)</w:t>
            </w:r>
            <w:r>
              <w:rPr>
                <w:rFonts w:ascii="Arial" w:cs="Arial" w:eastAsia="Arial" w:hAnsi="Arial"/>
                <w:sz w:val="23"/>
                <w:szCs w:val="23"/>
                <w:color w:val="auto"/>
                <w:vertAlign w:val="superscript"/>
              </w:rPr>
              <w:t>2</w:t>
            </w:r>
          </w:p>
        </w:tc>
        <w:tc>
          <w:tcPr>
            <w:tcW w:w="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Q1 2026</w:t>
            </w:r>
          </w:p>
        </w:tc>
        <w:tc>
          <w:tcPr>
            <w:tcW w:w="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Q4 2025</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8"/>
                <w:szCs w:val="18"/>
                <w:b w:val="1"/>
                <w:bCs w:val="1"/>
                <w:color w:val="auto"/>
                <w:w w:val="98"/>
              </w:rPr>
              <w:t>Q1 2025</w:t>
            </w:r>
          </w:p>
        </w:tc>
        <w:tc>
          <w:tcPr>
            <w:tcW w:w="4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Q/Q</w:t>
            </w:r>
          </w:p>
        </w:tc>
        <w:tc>
          <w:tcPr>
            <w:tcW w:w="92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Y/Y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Borders>
              <w:left w:val="single" w:sz="8" w:color="auto"/>
              <w:bottom w:val="single" w:sz="8" w:color="auto"/>
              <w:right w:val="single" w:sz="8" w:color="auto"/>
            </w:tcBorders>
            <w:gridSpan w:val="5"/>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Analog products, MEMS and Sensors (AM&amp;S) segment</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1,318</w:t>
            </w:r>
          </w:p>
        </w:tc>
        <w:tc>
          <w:tcPr>
            <w:tcW w:w="9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20"/>
                <w:szCs w:val="20"/>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1,069</w:t>
            </w:r>
          </w:p>
        </w:tc>
        <w:tc>
          <w:tcPr>
            <w:tcW w:w="440" w:type="dxa"/>
            <w:vAlign w:val="bottom"/>
          </w:tcPr>
          <w:p>
            <w:pPr>
              <w:spacing w:after="0"/>
              <w:rPr>
                <w:sz w:val="20"/>
                <w:szCs w:val="20"/>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-9.1%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980" w:type="dxa"/>
            <w:vAlign w:val="bottom"/>
            <w:tcBorders>
              <w:left w:val="single" w:sz="8" w:color="auto"/>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Power and discrete products (P&amp;D) segment</w:t>
            </w:r>
          </w:p>
        </w:tc>
        <w:tc>
          <w:tcPr>
            <w:tcW w:w="9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389</w:t>
            </w:r>
          </w:p>
        </w:tc>
        <w:tc>
          <w:tcPr>
            <w:tcW w:w="9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0"/>
                <w:szCs w:val="20"/>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397</w:t>
            </w:r>
          </w:p>
        </w:tc>
        <w:tc>
          <w:tcPr>
            <w:tcW w:w="440" w:type="dxa"/>
            <w:vAlign w:val="bottom"/>
          </w:tcPr>
          <w:p>
            <w:pPr>
              <w:spacing w:after="0"/>
              <w:rPr>
                <w:sz w:val="20"/>
                <w:szCs w:val="20"/>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-5.4%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0" w:type="dxa"/>
            <w:vAlign w:val="bottom"/>
            <w:tcBorders>
              <w:left w:val="single" w:sz="8" w:color="auto"/>
              <w:bottom w:val="single" w:sz="8" w:color="auto"/>
              <w:right w:val="single" w:sz="8" w:color="auto"/>
            </w:tcBorders>
            <w:gridSpan w:val="5"/>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Subtotal: Analog, Power &amp; Discrete, MEMS and Sensors</w:t>
            </w:r>
          </w:p>
        </w:tc>
        <w:tc>
          <w:tcPr>
            <w:tcW w:w="9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8"/>
                <w:szCs w:val="18"/>
                <w:b w:val="1"/>
                <w:bCs w:val="1"/>
                <w:color w:val="auto"/>
              </w:rPr>
              <w:t>1,707</w:t>
            </w:r>
          </w:p>
        </w:tc>
        <w:tc>
          <w:tcPr>
            <w:tcW w:w="980" w:type="dxa"/>
            <w:vAlign w:val="bottom"/>
            <w:tcBorders>
              <w:right w:val="single" w:sz="8" w:color="auto"/>
            </w:tcBorders>
            <w:gridSpan w:val="2"/>
            <w:vMerge w:val="restart"/>
          </w:tcPr>
          <w:p>
            <w:pPr>
              <w:jc w:val="right"/>
              <w:ind w:right="16"/>
              <w:spacing w:after="0"/>
              <w:rPr>
                <w:sz w:val="20"/>
                <w:szCs w:val="20"/>
                <w:color w:val="auto"/>
              </w:rPr>
            </w:pPr>
            <w:r>
              <w:rPr>
                <w:rFonts w:ascii="Arial" w:cs="Arial" w:eastAsia="Arial" w:hAnsi="Arial"/>
                <w:sz w:val="18"/>
                <w:szCs w:val="18"/>
                <w:b w:val="1"/>
                <w:bCs w:val="1"/>
                <w:color w:val="auto"/>
              </w:rPr>
              <w:t>1,861</w:t>
            </w:r>
          </w:p>
        </w:tc>
        <w:tc>
          <w:tcPr>
            <w:tcW w:w="140" w:type="dxa"/>
            <w:vAlign w:val="bottom"/>
          </w:tcPr>
          <w:p>
            <w:pPr>
              <w:spacing w:after="0"/>
              <w:rPr>
                <w:sz w:val="18"/>
                <w:szCs w:val="18"/>
                <w:color w:val="auto"/>
              </w:rPr>
            </w:pPr>
          </w:p>
        </w:tc>
        <w:tc>
          <w:tcPr>
            <w:tcW w:w="8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1,466</w:t>
            </w:r>
          </w:p>
        </w:tc>
        <w:tc>
          <w:tcPr>
            <w:tcW w:w="440" w:type="dxa"/>
            <w:vAlign w:val="bottom"/>
          </w:tcPr>
          <w:p>
            <w:pPr>
              <w:spacing w:after="0"/>
              <w:rPr>
                <w:sz w:val="18"/>
                <w:szCs w:val="18"/>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89"/>
              </w:rPr>
              <w:t>-8.3%</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16.4 %</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8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(APMS) Product Group</w:t>
            </w:r>
          </w:p>
        </w:tc>
        <w:tc>
          <w:tcPr>
            <w:tcW w:w="9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80" w:type="dxa"/>
            <w:vAlign w:val="bottom"/>
            <w:tcBorders>
              <w:left w:val="single" w:sz="8" w:color="auto"/>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Embedded Processing (EMP) segment</w:t>
            </w:r>
          </w:p>
        </w:tc>
        <w:tc>
          <w:tcPr>
            <w:tcW w:w="9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975</w:t>
            </w:r>
          </w:p>
        </w:tc>
        <w:tc>
          <w:tcPr>
            <w:tcW w:w="9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0"/>
                <w:szCs w:val="20"/>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742</w:t>
            </w:r>
          </w:p>
        </w:tc>
        <w:tc>
          <w:tcPr>
            <w:tcW w:w="440" w:type="dxa"/>
            <w:vAlign w:val="bottom"/>
          </w:tcPr>
          <w:p>
            <w:pPr>
              <w:spacing w:after="0"/>
              <w:rPr>
                <w:sz w:val="20"/>
                <w:szCs w:val="20"/>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-4.0%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980" w:type="dxa"/>
            <w:vAlign w:val="bottom"/>
            <w:tcBorders>
              <w:left w:val="single" w:sz="8" w:color="auto"/>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RF &amp; Optical Communications (RFOC) segment</w:t>
            </w:r>
          </w:p>
        </w:tc>
        <w:tc>
          <w:tcPr>
            <w:tcW w:w="9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409</w:t>
            </w:r>
          </w:p>
        </w:tc>
        <w:tc>
          <w:tcPr>
            <w:tcW w:w="9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20"/>
                <w:szCs w:val="20"/>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306</w:t>
            </w:r>
          </w:p>
        </w:tc>
        <w:tc>
          <w:tcPr>
            <w:tcW w:w="440" w:type="dxa"/>
            <w:vAlign w:val="bottom"/>
          </w:tcPr>
          <w:p>
            <w:pPr>
              <w:spacing w:after="0"/>
              <w:rPr>
                <w:sz w:val="20"/>
                <w:szCs w:val="20"/>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-9.0%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0" w:type="dxa"/>
            <w:vAlign w:val="bottom"/>
            <w:tcBorders>
              <w:left w:val="single" w:sz="8" w:color="auto"/>
              <w:bottom w:val="single" w:sz="8" w:color="auto"/>
              <w:right w:val="single" w:sz="8" w:color="auto"/>
            </w:tcBorders>
            <w:gridSpan w:val="5"/>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Subtotal: Microcontrollers, Digital ICs and RF products</w:t>
            </w:r>
          </w:p>
        </w:tc>
        <w:tc>
          <w:tcPr>
            <w:tcW w:w="9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8"/>
                <w:szCs w:val="18"/>
                <w:b w:val="1"/>
                <w:bCs w:val="1"/>
                <w:color w:val="auto"/>
              </w:rPr>
              <w:t>1,384</w:t>
            </w:r>
          </w:p>
        </w:tc>
        <w:tc>
          <w:tcPr>
            <w:tcW w:w="980" w:type="dxa"/>
            <w:vAlign w:val="bottom"/>
            <w:tcBorders>
              <w:right w:val="single" w:sz="8" w:color="auto"/>
            </w:tcBorders>
            <w:gridSpan w:val="2"/>
            <w:vMerge w:val="restart"/>
          </w:tcPr>
          <w:p>
            <w:pPr>
              <w:jc w:val="right"/>
              <w:ind w:right="16"/>
              <w:spacing w:after="0"/>
              <w:rPr>
                <w:sz w:val="20"/>
                <w:szCs w:val="20"/>
                <w:color w:val="auto"/>
              </w:rPr>
            </w:pPr>
            <w:r>
              <w:rPr>
                <w:rFonts w:ascii="Arial" w:cs="Arial" w:eastAsia="Arial" w:hAnsi="Arial"/>
                <w:sz w:val="18"/>
                <w:szCs w:val="18"/>
                <w:b w:val="1"/>
                <w:bCs w:val="1"/>
                <w:color w:val="auto"/>
              </w:rPr>
              <w:t>1,464</w:t>
            </w:r>
          </w:p>
        </w:tc>
        <w:tc>
          <w:tcPr>
            <w:tcW w:w="140" w:type="dxa"/>
            <w:vAlign w:val="bottom"/>
          </w:tcPr>
          <w:p>
            <w:pPr>
              <w:spacing w:after="0"/>
              <w:rPr>
                <w:sz w:val="18"/>
                <w:szCs w:val="18"/>
                <w:color w:val="auto"/>
              </w:rPr>
            </w:pPr>
          </w:p>
        </w:tc>
        <w:tc>
          <w:tcPr>
            <w:tcW w:w="8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1,048</w:t>
            </w:r>
          </w:p>
        </w:tc>
        <w:tc>
          <w:tcPr>
            <w:tcW w:w="440" w:type="dxa"/>
            <w:vAlign w:val="bottom"/>
          </w:tcPr>
          <w:p>
            <w:pPr>
              <w:spacing w:after="0"/>
              <w:rPr>
                <w:sz w:val="18"/>
                <w:szCs w:val="18"/>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89"/>
              </w:rPr>
              <w:t>-5.5%</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32.1 %</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8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(MDRF) Product Group</w:t>
            </w:r>
          </w:p>
        </w:tc>
        <w:tc>
          <w:tcPr>
            <w:tcW w:w="9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80" w:type="dxa"/>
            <w:vAlign w:val="bottom"/>
            <w:tcBorders>
              <w:left w:val="single" w:sz="8" w:color="auto"/>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Others</w:t>
            </w:r>
          </w:p>
        </w:tc>
        <w:tc>
          <w:tcPr>
            <w:tcW w:w="9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9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4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980" w:type="dxa"/>
            <w:vAlign w:val="bottom"/>
            <w:tcBorders>
              <w:left w:val="single" w:sz="8" w:color="auto"/>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Total Net Revenues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   3,095</w:t>
            </w:r>
          </w:p>
        </w:tc>
        <w:tc>
          <w:tcPr>
            <w:tcW w:w="980" w:type="dxa"/>
            <w:vAlign w:val="bottom"/>
            <w:tcBorders>
              <w:bottom w:val="single" w:sz="8" w:color="auto"/>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   3,329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2,517</w:t>
            </w: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23.0 %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right="360"/>
        <w:spacing w:after="0" w:line="259" w:lineRule="auto"/>
        <w:rPr>
          <w:sz w:val="20"/>
          <w:szCs w:val="20"/>
          <w:color w:val="auto"/>
        </w:rPr>
      </w:pPr>
      <w:r>
        <w:rPr>
          <w:rFonts w:ascii="Arial" w:cs="Arial" w:eastAsia="Arial" w:hAnsi="Arial"/>
          <w:sz w:val="18"/>
          <w:szCs w:val="18"/>
          <w:b w:val="1"/>
          <w:bCs w:val="1"/>
          <w:u w:val="single" w:color="auto"/>
          <w:color w:val="auto"/>
        </w:rPr>
        <w:t>Net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totaled $3.10 billion, representing a year-over-year increase of 23.0%. Net revenues included about $40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revenues associated with NXP’s MEMS sensor business; excluding this contribution net revenues increased 21.4% on a year-over-year basis. Year-over-year net sales to OEMs and Distribution increased 24.5% and 19.2%, respectively. On a sequential basis, net revenues decreased 7.0% and 8.2% excluding NXP’s MEMS sensor business contribution, 50 basis points better than the mid-point of ST’s guidance.</w:t>
      </w:r>
    </w:p>
    <w:p>
      <w:pPr>
        <w:spacing w:after="0" w:line="179"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b w:val="1"/>
          <w:bCs w:val="1"/>
          <w:u w:val="single" w:color="auto"/>
          <w:color w:val="171718"/>
        </w:rPr>
        <w:t>Gross profit</w:t>
      </w:r>
      <w:r>
        <w:rPr>
          <w:rFonts w:ascii="Arial" w:cs="Arial" w:eastAsia="Arial" w:hAnsi="Arial"/>
          <w:sz w:val="17"/>
          <w:szCs w:val="17"/>
          <w:b w:val="1"/>
          <w:bCs w:val="1"/>
          <w:color w:val="171718"/>
        </w:rPr>
        <w:t xml:space="preserve"> </w:t>
      </w:r>
      <w:r>
        <w:rPr>
          <w:rFonts w:ascii="Arial" w:cs="Arial" w:eastAsia="Arial" w:hAnsi="Arial"/>
          <w:sz w:val="17"/>
          <w:szCs w:val="17"/>
          <w:color w:val="171718"/>
        </w:rPr>
        <w:t>totaled $</w:t>
      </w:r>
      <w:r>
        <w:rPr>
          <w:rFonts w:ascii="Arial" w:cs="Arial" w:eastAsia="Arial" w:hAnsi="Arial"/>
          <w:sz w:val="17"/>
          <w:szCs w:val="17"/>
          <w:color w:val="000000"/>
        </w:rPr>
        <w:t>1.05 b</w:t>
      </w:r>
      <w:r>
        <w:rPr>
          <w:rFonts w:ascii="Arial" w:cs="Arial" w:eastAsia="Arial" w:hAnsi="Arial"/>
          <w:sz w:val="17"/>
          <w:szCs w:val="17"/>
          <w:color w:val="171718"/>
        </w:rPr>
        <w:t>illion, representing a year-over-year increase of 24.3%</w:t>
      </w:r>
      <w:r>
        <w:rPr>
          <w:rFonts w:ascii="Arial" w:cs="Arial" w:eastAsia="Arial" w:hAnsi="Arial"/>
          <w:sz w:val="17"/>
          <w:szCs w:val="17"/>
          <w:b w:val="1"/>
          <w:bCs w:val="1"/>
          <w:color w:val="171718"/>
        </w:rPr>
        <w:t>Gross</w:t>
      </w:r>
      <w:r>
        <w:rPr>
          <w:rFonts w:ascii="Arial" w:cs="Arial" w:eastAsia="Arial" w:hAnsi="Arial"/>
          <w:sz w:val="17"/>
          <w:szCs w:val="17"/>
          <w:color w:val="171718"/>
        </w:rPr>
        <w:t>.</w:t>
      </w:r>
      <w:r>
        <w:rPr>
          <w:rFonts w:ascii="Arial" w:cs="Arial" w:eastAsia="Arial" w:hAnsi="Arial"/>
          <w:sz w:val="17"/>
          <w:szCs w:val="17"/>
          <w:b w:val="1"/>
          <w:bCs w:val="1"/>
          <w:color w:val="171718"/>
        </w:rPr>
        <w:t xml:space="preserve"> margin </w:t>
      </w:r>
      <w:r>
        <w:rPr>
          <w:rFonts w:ascii="Arial" w:cs="Arial" w:eastAsia="Arial" w:hAnsi="Arial"/>
          <w:sz w:val="17"/>
          <w:szCs w:val="17"/>
          <w:color w:val="171718"/>
        </w:rPr>
        <w:t>of 33.8%,</w:t>
      </w:r>
      <w:r>
        <w:rPr>
          <w:rFonts w:ascii="Arial" w:cs="Arial" w:eastAsia="Arial" w:hAnsi="Arial"/>
          <w:sz w:val="17"/>
          <w:szCs w:val="17"/>
          <w:b w:val="1"/>
          <w:bCs w:val="1"/>
          <w:color w:val="171718"/>
        </w:rPr>
        <w:t xml:space="preserve"> </w:t>
      </w:r>
      <w:r>
        <w:rPr>
          <w:rFonts w:ascii="Arial" w:cs="Arial" w:eastAsia="Arial" w:hAnsi="Arial"/>
          <w:sz w:val="17"/>
          <w:szCs w:val="17"/>
          <w:color w:val="000000"/>
        </w:rPr>
        <w:t>increased</w:t>
      </w:r>
      <w:r>
        <w:rPr>
          <w:rFonts w:ascii="Arial" w:cs="Arial" w:eastAsia="Arial" w:hAnsi="Arial"/>
          <w:sz w:val="17"/>
          <w:szCs w:val="17"/>
          <w:b w:val="1"/>
          <w:bCs w:val="1"/>
          <w:color w:val="171718"/>
        </w:rPr>
        <w:t xml:space="preserve"> </w:t>
      </w:r>
      <w:r>
        <w:rPr>
          <w:rFonts w:ascii="Arial" w:cs="Arial" w:eastAsia="Arial" w:hAnsi="Arial"/>
          <w:sz w:val="17"/>
          <w:szCs w:val="17"/>
          <w:color w:val="000000"/>
        </w:rPr>
        <w:t>40 basis points year-over-year, mainly due to lower unused capacity charges and better product mixGross. profit included</w:t>
      </w:r>
    </w:p>
    <w:p>
      <w:pPr>
        <w:spacing w:after="0" w:line="1" w:lineRule="exact"/>
        <w:rPr>
          <w:sz w:val="20"/>
          <w:szCs w:val="20"/>
          <w:color w:val="auto"/>
        </w:rPr>
      </w:pPr>
    </w:p>
    <w:p>
      <w:pPr>
        <w:jc w:val="both"/>
        <w:ind w:right="520"/>
        <w:spacing w:after="0" w:line="237" w:lineRule="auto"/>
        <w:rPr>
          <w:sz w:val="20"/>
          <w:szCs w:val="20"/>
          <w:color w:val="auto"/>
        </w:rPr>
      </w:pPr>
      <w:r>
        <w:rPr>
          <w:rFonts w:ascii="Arial" w:cs="Arial" w:eastAsia="Arial" w:hAnsi="Arial"/>
          <w:sz w:val="18"/>
          <w:szCs w:val="18"/>
          <w:color w:val="auto"/>
        </w:rPr>
        <w:t>$11 million Purchase Price Allocation (PPA) effects from the acquisition of NXP’s MEMS sensor business. 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Gross Margin, excluding this item, was 34.1%. Excluding the impact from NXP’s MEMS sensor business and related PPA effects, gross margin stood at 33.9%, 20 basis points better than the mid-point of ST’s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from $3 million in the year-ago quarterto $70 million. ST’s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operating margin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on</w:t>
      </w:r>
    </w:p>
    <w:p>
      <w:pPr>
        <w:spacing w:after="0" w:line="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 year-over-year basis to 2.3% of net revenues, compared to 0.1% in the first quarter of 2025. Operating income included $71 million impairment, restructuring charges and other related phase-out costs for the quarter, mainly reflecting charges related to the execution of the previously announced company-wide program to reshape our manufacturing footprint and resize our global cost base and $30 million Purchase Price Allocation (PPA) effects from the acquisition of NXP’s MEMS sensor business. Excluding these items, 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stood at $171 million in the first quarter (or 5.5% 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u w:val="single" w:color="auto"/>
          <w:color w:val="auto"/>
        </w:rPr>
        <w:t>reportable segment</w:t>
      </w:r>
      <w:r>
        <w:rPr>
          <w:rFonts w:ascii="Arial" w:cs="Arial" w:eastAsia="Arial" w:hAnsi="Arial"/>
          <w:sz w:val="18"/>
          <w:szCs w:val="18"/>
          <w:color w:val="auto"/>
        </w:rPr>
        <w:t>, compared with the year-ago quarter: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002052"/>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Analog, Power &amp; Discrete, MEMS and Sensors (APMS) Product Group</w:t>
      </w:r>
      <w:r>
        <w:rPr>
          <w:rFonts w:ascii="Arial" w:cs="Arial" w:eastAsia="Arial" w:hAnsi="Arial"/>
          <w:sz w:val="18"/>
          <w:szCs w:val="18"/>
          <w:color w:val="auto"/>
        </w:rPr>
        <w: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Analog products, MEMS and Sensors (AM&amp;S)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segment:</w:t>
      </w:r>
    </w:p>
    <w:p>
      <w:pPr>
        <w:ind w:left="980" w:hanging="334"/>
        <w:spacing w:after="0"/>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Revenue increased 23.2% mainly due to Imaging and MEMS and, to a lesser extent, Analog.</w:t>
      </w:r>
    </w:p>
    <w:p>
      <w:pPr>
        <w:spacing w:after="0" w:line="8" w:lineRule="exact"/>
        <w:rPr>
          <w:rFonts w:ascii="Times New Roman" w:cs="Times New Roman" w:eastAsia="Times New Roman" w:hAnsi="Times New Roman"/>
          <w:sz w:val="18"/>
          <w:szCs w:val="18"/>
          <w:color w:val="auto"/>
        </w:rPr>
      </w:pPr>
    </w:p>
    <w:p>
      <w:pPr>
        <w:ind w:left="980" w:hanging="334"/>
        <w:spacing w:after="0"/>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profit increased by 95.8% to $161 million. Operating margin was 12.2% compared to 7.7%.</w:t>
      </w: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Power and Discrete products (P&amp;D) segment:</w:t>
      </w:r>
    </w:p>
    <w:p>
      <w:pPr>
        <w:spacing w:after="0" w:line="27" w:lineRule="exact"/>
        <w:rPr>
          <w:sz w:val="20"/>
          <w:szCs w:val="20"/>
          <w:color w:val="auto"/>
        </w:rPr>
      </w:pPr>
    </w:p>
    <w:p>
      <w:pPr>
        <w:ind w:left="980" w:hanging="334"/>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Revenue decreased 1.8%.</w:t>
      </w:r>
    </w:p>
    <w:p>
      <w:pPr>
        <w:spacing w:after="0" w:line="8" w:lineRule="exact"/>
        <w:rPr>
          <w:rFonts w:ascii="Times New Roman" w:cs="Times New Roman" w:eastAsia="Times New Roman" w:hAnsi="Times New Roman"/>
          <w:sz w:val="18"/>
          <w:szCs w:val="18"/>
          <w:color w:val="auto"/>
        </w:rPr>
      </w:pPr>
    </w:p>
    <w:p>
      <w:pPr>
        <w:ind w:left="980" w:hanging="334"/>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result decreased from a loss of $28 million to a loss of $84 million. Operating margin was -21.5%</w:t>
      </w:r>
    </w:p>
    <w:p>
      <w:pPr>
        <w:sectPr>
          <w:pgSz w:w="11900" w:h="16838" w:orient="portrait"/>
          <w:cols w:equalWidth="0" w:num="1">
            <w:col w:w="9780"/>
          </w:cols>
          <w:pgMar w:left="1260" w:top="120" w:right="859" w:bottom="0" w:gutter="0" w:footer="0" w:header="0"/>
        </w:sectPr>
      </w:pPr>
    </w:p>
    <w:bookmarkStart w:id="3" w:name="page4"/>
    <w:bookmarkEnd w:id="3"/>
    <w:p>
      <w:pPr>
        <w:spacing w:after="0" w:line="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compared to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-93980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In Microcontrollers, Digital ICs and RF products (MDRF) Product Group</w:t>
      </w:r>
      <w:r>
        <w:rPr>
          <w:rFonts w:ascii="Arial" w:cs="Arial" w:eastAsia="Arial" w:hAnsi="Arial"/>
          <w:sz w:val="18"/>
          <w:szCs w:val="18"/>
          <w:color w:val="auto"/>
        </w:rPr>
        <w: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Embedded Processing (EMP) segment:</w:t>
      </w:r>
    </w:p>
    <w:p>
      <w:pPr>
        <w:spacing w:after="0" w:line="27" w:lineRule="exact"/>
        <w:rPr>
          <w:sz w:val="20"/>
          <w:szCs w:val="20"/>
          <w:color w:val="auto"/>
        </w:rPr>
      </w:pPr>
    </w:p>
    <w:p>
      <w:pPr>
        <w:ind w:left="980" w:hanging="334"/>
        <w:spacing w:after="0"/>
        <w:tabs>
          <w:tab w:leader="none" w:pos="9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Revenue increased 31.3% due to General Purpose MCU and, to a lesser extent, Custom Processing.</w:t>
      </w:r>
    </w:p>
    <w:p>
      <w:pPr>
        <w:spacing w:after="0" w:line="8" w:lineRule="exact"/>
        <w:rPr>
          <w:rFonts w:ascii="Times New Roman" w:cs="Times New Roman" w:eastAsia="Times New Roman" w:hAnsi="Times New Roman"/>
          <w:sz w:val="18"/>
          <w:szCs w:val="18"/>
          <w:color w:val="auto"/>
        </w:rPr>
      </w:pPr>
    </w:p>
    <w:p>
      <w:pPr>
        <w:ind w:left="980" w:hanging="334"/>
        <w:spacing w:after="0"/>
        <w:tabs>
          <w:tab w:leader="none" w:pos="9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profit increased by 148.7% to $164 million. Operating margin was 16.9% compared to 8.9%.</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RF &amp; Optical Communications (RFOC) segment:</w:t>
      </w:r>
    </w:p>
    <w:p>
      <w:pPr>
        <w:spacing w:after="0" w:line="27" w:lineRule="exact"/>
        <w:rPr>
          <w:sz w:val="20"/>
          <w:szCs w:val="20"/>
          <w:color w:val="auto"/>
        </w:rPr>
      </w:pPr>
    </w:p>
    <w:p>
      <w:pPr>
        <w:ind w:left="980" w:hanging="334"/>
        <w:spacing w:after="0"/>
        <w:tabs>
          <w:tab w:leader="none" w:pos="9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Revenue increased 33.9%.</w:t>
      </w:r>
    </w:p>
    <w:p>
      <w:pPr>
        <w:spacing w:after="0" w:line="13" w:lineRule="exact"/>
        <w:rPr>
          <w:rFonts w:ascii="Times New Roman" w:cs="Times New Roman" w:eastAsia="Times New Roman" w:hAnsi="Times New Roman"/>
          <w:sz w:val="18"/>
          <w:szCs w:val="18"/>
          <w:color w:val="auto"/>
        </w:rPr>
      </w:pPr>
    </w:p>
    <w:p>
      <w:pPr>
        <w:ind w:left="980" w:hanging="334"/>
        <w:spacing w:after="0"/>
        <w:tabs>
          <w:tab w:leader="none" w:pos="9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profit increased by 43.4% to $61 million. Operating margin was 14.9% compared to 13.9%.</w:t>
      </w:r>
    </w:p>
    <w:p>
      <w:pPr>
        <w:spacing w:after="0" w:line="215"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b w:val="1"/>
          <w:bCs w:val="1"/>
          <w:u w:val="single" w:color="auto"/>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diluted Earnings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to $37 million and $0.04 respectively, compared to $ 56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$0.06 respectively in the year-ago quarter. In the first quarter of 2026 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Net income stood at $122 million and 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diluted Earnings Per Share stood at $0.13.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Balance Sheet Highlights</w:t>
      </w:r>
    </w:p>
    <w:p>
      <w:pPr>
        <w:spacing w:after="0" w:line="170" w:lineRule="exact"/>
        <w:rPr>
          <w:sz w:val="20"/>
          <w:szCs w:val="20"/>
          <w:color w:val="auto"/>
        </w:rPr>
      </w:pPr>
    </w:p>
    <w:tbl>
      <w:tblPr>
        <w:tblLayout w:type="fixed"/>
        <w:tblInd w:w="30" w:type="dxa"/>
        <w:tblCellMar>
          <w:top w:w="0" w:type="dxa"/>
          <w:left w:w="0" w:type="dxa"/>
          <w:bottom w:w="0" w:type="dxa"/>
          <w:right w:w="0" w:type="dxa"/>
        </w:tblCellMar>
      </w:tblPr>
      <w:tr>
        <w:trPr>
          <w:trHeight w:val="269"/>
        </w:trPr>
        <w:tc>
          <w:tcPr>
            <w:tcW w:w="346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960" w:type="dxa"/>
            <w:vAlign w:val="bottom"/>
            <w:tcBorders>
              <w:top w:val="single" w:sz="8" w:color="auto"/>
              <w:bottom w:val="single" w:sz="8" w:color="auto"/>
              <w:right w:val="single" w:sz="8" w:color="auto"/>
            </w:tcBorders>
          </w:tcPr>
          <w:p>
            <w:pPr>
              <w:spacing w:after="0"/>
              <w:rPr>
                <w:sz w:val="23"/>
                <w:szCs w:val="23"/>
                <w:color w:val="auto"/>
              </w:rPr>
            </w:pPr>
          </w:p>
        </w:tc>
        <w:tc>
          <w:tcPr>
            <w:tcW w:w="980" w:type="dxa"/>
            <w:vAlign w:val="bottom"/>
            <w:tcBorders>
              <w:top w:val="single" w:sz="8" w:color="auto"/>
              <w:bottom w:val="single" w:sz="8" w:color="auto"/>
              <w:right w:val="single" w:sz="8" w:color="auto"/>
            </w:tcBorders>
          </w:tcPr>
          <w:p>
            <w:pPr>
              <w:spacing w:after="0"/>
              <w:rPr>
                <w:sz w:val="23"/>
                <w:szCs w:val="23"/>
                <w:color w:val="auto"/>
              </w:rPr>
            </w:pPr>
          </w:p>
        </w:tc>
        <w:tc>
          <w:tcPr>
            <w:tcW w:w="980" w:type="dxa"/>
            <w:vAlign w:val="bottom"/>
            <w:tcBorders>
              <w:top w:val="single" w:sz="8" w:color="auto"/>
              <w:bottom w:val="single" w:sz="8" w:color="auto"/>
              <w:right w:val="single" w:sz="8" w:color="auto"/>
            </w:tcBorders>
          </w:tcPr>
          <w:p>
            <w:pPr>
              <w:spacing w:after="0"/>
              <w:rPr>
                <w:sz w:val="23"/>
                <w:szCs w:val="23"/>
                <w:color w:val="auto"/>
              </w:rPr>
            </w:pPr>
          </w:p>
        </w:tc>
        <w:tc>
          <w:tcPr>
            <w:tcW w:w="3280" w:type="dxa"/>
            <w:vAlign w:val="bottom"/>
            <w:tcBorders>
              <w:top w:val="single" w:sz="8" w:color="auto"/>
              <w:bottom w:val="single" w:sz="8" w:color="auto"/>
              <w:right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Trailing 12 Months</w:t>
            </w:r>
          </w:p>
        </w:tc>
      </w:tr>
      <w:tr>
        <w:trPr>
          <w:trHeight w:val="246"/>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 m)</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Q1 2026</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Q4 2025</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Q1 2025</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Q1 2026</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Q1 2025</w:t>
            </w: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TTM Change</w:t>
            </w:r>
          </w:p>
        </w:tc>
      </w:tr>
      <w:tr>
        <w:trPr>
          <w:trHeight w:val="245"/>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 cash from operating activities</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534</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574</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2,111</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2,680</w:t>
            </w: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r>
      <w:tr>
        <w:trPr>
          <w:trHeight w:val="50"/>
        </w:trPr>
        <w:tc>
          <w:tcPr>
            <w:tcW w:w="34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r>
      <w:tr>
        <w:trPr>
          <w:trHeight w:val="304"/>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Free cash flow (non-U.S. GAAP</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(723)</w:t>
            </w:r>
            <w:r>
              <w:rPr>
                <w:rFonts w:ascii="Arial" w:cs="Arial" w:eastAsia="Arial" w:hAnsi="Arial"/>
                <w:sz w:val="23"/>
                <w:szCs w:val="23"/>
                <w:color w:val="auto"/>
                <w:vertAlign w:val="superscript"/>
              </w:rPr>
              <w:t>2</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from operating activities was $534 million in the first quarter, including about $45 million outflow related to</w:t>
      </w:r>
    </w:p>
    <w:p>
      <w:pPr>
        <w:ind w:left="20" w:right="560"/>
        <w:spacing w:after="0" w:line="229" w:lineRule="auto"/>
        <w:rPr>
          <w:sz w:val="20"/>
          <w:szCs w:val="20"/>
          <w:color w:val="auto"/>
        </w:rPr>
      </w:pPr>
      <w:r>
        <w:rPr>
          <w:rFonts w:ascii="Arial" w:cs="Arial" w:eastAsia="Arial" w:hAnsi="Arial"/>
          <w:sz w:val="18"/>
          <w:szCs w:val="18"/>
          <w:color w:val="auto"/>
        </w:rPr>
        <w:t>restructuring, compared to $574 million in the year-ago quarter, which benefitted from a positive $147 million inflow from net working capital.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Net Capex (non-U.S. GAAP</w:t>
      </w:r>
      <w:r>
        <w:rPr>
          <w:rFonts w:ascii="Arial" w:cs="Arial" w:eastAsia="Arial" w:hAnsi="Arial"/>
          <w:sz w:val="23"/>
          <w:szCs w:val="23"/>
          <w:color w:val="auto"/>
          <w:vertAlign w:val="superscript"/>
        </w:rPr>
        <w:t>1</w:t>
      </w:r>
      <w:r>
        <w:rPr>
          <w:rFonts w:ascii="Arial" w:cs="Arial" w:eastAsia="Arial" w:hAnsi="Arial"/>
          <w:sz w:val="18"/>
          <w:szCs w:val="18"/>
          <w:color w:val="auto"/>
        </w:rPr>
        <w:t>), was $362 million in the first quarter compared to $530 million in the year-ago quarter.</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Free cash flow (non-U.S. GAAP</w:t>
      </w:r>
      <w:r>
        <w:rPr>
          <w:rFonts w:ascii="Arial" w:cs="Arial" w:eastAsia="Arial" w:hAnsi="Arial"/>
          <w:sz w:val="23"/>
          <w:szCs w:val="23"/>
          <w:color w:val="auto"/>
          <w:vertAlign w:val="superscript"/>
        </w:rPr>
        <w:t>1</w:t>
      </w:r>
      <w:r>
        <w:rPr>
          <w:rFonts w:ascii="Arial" w:cs="Arial" w:eastAsia="Arial" w:hAnsi="Arial"/>
          <w:sz w:val="18"/>
          <w:szCs w:val="18"/>
          <w:color w:val="auto"/>
        </w:rPr>
        <w:t>) was negative at $723 million in the first quarter compared to positive $30 million in the year-ago quarter. Free cash flow included $895 million cash-out related to the payment for the acquisition of NXP’s MEMS sensor business.</w:t>
      </w:r>
    </w:p>
    <w:p>
      <w:pPr>
        <w:spacing w:after="0" w:line="16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Inventory at the end of the first quarter was $3.17 billion, compared to $3.14 billion in the previous quarter and $3.01 billion in the year-ago quarter. Days sales of inventory at quarter-end was 140 days, compared to 130 days for the previous quarter and 167 days for the year-ago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ST paid cash dividends to its stockholders totaling $71 million.</w:t>
      </w:r>
    </w:p>
    <w:p>
      <w:pPr>
        <w:spacing w:after="0" w:line="196"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ST’s net financial position (non-U.S. GAAP</w:t>
      </w:r>
      <w:r>
        <w:rPr>
          <w:rFonts w:ascii="Arial" w:cs="Arial" w:eastAsia="Arial" w:hAnsi="Arial"/>
          <w:sz w:val="22"/>
          <w:szCs w:val="22"/>
          <w:color w:val="auto"/>
          <w:vertAlign w:val="superscript"/>
        </w:rPr>
        <w:t>1</w:t>
      </w:r>
      <w:r>
        <w:rPr>
          <w:rFonts w:ascii="Arial" w:cs="Arial" w:eastAsia="Arial" w:hAnsi="Arial"/>
          <w:sz w:val="17"/>
          <w:szCs w:val="17"/>
          <w:color w:val="auto"/>
        </w:rPr>
        <w:t>) remained strong at $2.00 billion as of March 28, 2026, compared to $2.79 billion as of December 31, 2025, and reflected total liquidity of $4.57 billion and total financial debt of $2.57 billion. Adjusted net financial position (non-U.S. GAAP</w:t>
      </w:r>
      <w:r>
        <w:rPr>
          <w:rFonts w:ascii="Arial" w:cs="Arial" w:eastAsia="Arial" w:hAnsi="Arial"/>
          <w:sz w:val="22"/>
          <w:szCs w:val="22"/>
          <w:color w:val="auto"/>
          <w:vertAlign w:val="superscript"/>
        </w:rPr>
        <w:t>1</w:t>
      </w:r>
      <w:r>
        <w:rPr>
          <w:rFonts w:ascii="Arial" w:cs="Arial" w:eastAsia="Arial" w:hAnsi="Arial"/>
          <w:sz w:val="17"/>
          <w:szCs w:val="17"/>
          <w:color w:val="auto"/>
        </w:rPr>
        <w:t>), taking into consideration the effect on total liquidity of advances from capital grants for which capital expenditures have not been incurred yet, stood at $1.69 billion as of March 28, 2026.</w:t>
      </w:r>
    </w:p>
    <w:p>
      <w:pPr>
        <w:spacing w:after="0" w:line="342" w:lineRule="exact"/>
        <w:rPr>
          <w:sz w:val="20"/>
          <w:szCs w:val="20"/>
          <w:color w:val="auto"/>
        </w:rPr>
      </w:pPr>
    </w:p>
    <w:p>
      <w:pPr>
        <w:ind w:left="200" w:hanging="98"/>
        <w:spacing w:after="0"/>
        <w:tabs>
          <w:tab w:leader="none" w:pos="20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i w:val="1"/>
          <w:iCs w:val="1"/>
          <w:color w:val="auto"/>
        </w:rPr>
        <w:t>Non-U.S. GAAP. See Appendix for reconciliation to U.S. GAAP and information explaining why the Company believes these measures are important.</w:t>
      </w:r>
    </w:p>
    <w:p>
      <w:pPr>
        <w:spacing w:after="0" w:line="43" w:lineRule="exact"/>
        <w:rPr>
          <w:rFonts w:ascii="Arial" w:cs="Arial" w:eastAsia="Arial" w:hAnsi="Arial"/>
          <w:sz w:val="16"/>
          <w:szCs w:val="16"/>
          <w:color w:val="auto"/>
          <w:vertAlign w:val="superscript"/>
        </w:rPr>
      </w:pPr>
    </w:p>
    <w:p>
      <w:pPr>
        <w:ind w:left="100"/>
        <w:spacing w:after="0"/>
        <w:rPr>
          <w:rFonts w:ascii="Arial" w:cs="Arial" w:eastAsia="Arial" w:hAnsi="Arial"/>
          <w:sz w:val="16"/>
          <w:szCs w:val="16"/>
          <w:color w:val="auto"/>
          <w:vertAlign w:val="superscript"/>
        </w:rPr>
      </w:pP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 xml:space="preserve"> Q126 Free cash flow includes $895 million cash-out related to the acquisition of NXP MEMS sensor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002052"/>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developments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February 2, 2026, ST completed the acquisition of NXP’s MEMS sensor business. Announced in July 2025, this transaction focused on automotive safety and non-safety products and sensors for industrial applications, expands ST’s global sensors capabilities.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February 9, 2026, ST announced an expanded strategic collaboration with Amazon Web Services (AWS) through a multi-year, multi-billion USD commercial engagement to enable new high performance compute infrastructure for cloud and AI data centers. This engagement covers a broad range of semiconductor solutions leveraging ST’s portfolio of proprietary technologies. ST has issued warrants to AWS for up to 24.8 million ordinary shares of ST. The warrants will vest in tranches over the term of the agreement, with vesting substantially tied to payments for ST products and services by AWS and its affiliates.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ST’s guidance, at the mid-point, for the 2026 second quarter is:</w:t>
      </w:r>
    </w:p>
    <w:p>
      <w:pPr>
        <w:spacing w:after="0" w:line="27" w:lineRule="exact"/>
        <w:rPr>
          <w:sz w:val="20"/>
          <w:szCs w:val="20"/>
          <w:color w:val="auto"/>
        </w:rPr>
      </w:pP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Net revenues are expected to be $3.45 billion, an increase of 11.6% sequentially, plus or minus 350 basis points.</w:t>
      </w:r>
    </w:p>
    <w:p>
      <w:pPr>
        <w:sectPr>
          <w:pgSz w:w="11900" w:h="16882" w:orient="portrait"/>
          <w:cols w:equalWidth="0" w:num="1">
            <w:col w:w="9700"/>
          </w:cols>
          <w:pgMar w:left="1260" w:top="82" w:right="939" w:bottom="0" w:gutter="0" w:footer="0" w:header="0"/>
        </w:sectPr>
      </w:pPr>
    </w:p>
    <w:bookmarkStart w:id="4" w:name="page5"/>
    <w:bookmarkEnd w:id="4"/>
    <w:p>
      <w:pPr>
        <w:ind w:left="642" w:right="300" w:hanging="318"/>
        <w:spacing w:after="0" w:line="242" w:lineRule="auto"/>
        <w:tabs>
          <w:tab w:leader="none" w:pos="642"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U.S. GAAP Gross margin of 34.8%, plus or minus 200 basis pointsNon.-U.S. 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gross margin is expected to be about 35.2%, plus or minus 200 basis points.</w:t>
      </w:r>
    </w:p>
    <w:p>
      <w:pPr>
        <w:spacing w:after="0" w:line="1" w:lineRule="exact"/>
        <w:rPr>
          <w:rFonts w:ascii="Times New Roman" w:cs="Times New Roman" w:eastAsia="Times New Roman" w:hAnsi="Times New Roman"/>
          <w:sz w:val="18"/>
          <w:szCs w:val="18"/>
          <w:color w:val="auto"/>
        </w:rPr>
      </w:pPr>
    </w:p>
    <w:p>
      <w:pPr>
        <w:ind w:left="642" w:right="320" w:hanging="318"/>
        <w:spacing w:after="0" w:line="249" w:lineRule="auto"/>
        <w:tabs>
          <w:tab w:leader="none" w:pos="642"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This outlook is based on an assumed effective currency exchange rate of approximately $1.15 = €1.00 for the 2026 second quarter and includes the impact of existing hedging contracts.</w:t>
      </w:r>
    </w:p>
    <w:p>
      <w:pPr>
        <w:spacing w:after="0" w:line="1" w:lineRule="exact"/>
        <w:rPr>
          <w:rFonts w:ascii="Times New Roman" w:cs="Times New Roman" w:eastAsia="Times New Roman" w:hAnsi="Times New Roman"/>
          <w:sz w:val="18"/>
          <w:szCs w:val="18"/>
          <w:color w:val="auto"/>
        </w:rPr>
      </w:pPr>
    </w:p>
    <w:p>
      <w:pPr>
        <w:ind w:left="642" w:hanging="318"/>
        <w:spacing w:after="0"/>
        <w:tabs>
          <w:tab w:leader="none" w:pos="642"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second quarter will close on June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-679450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102" w:right="300"/>
        <w:spacing w:after="0" w:line="266" w:lineRule="auto"/>
        <w:rPr>
          <w:sz w:val="20"/>
          <w:szCs w:val="20"/>
          <w:color w:val="auto"/>
        </w:rPr>
      </w:pPr>
      <w:r>
        <w:rPr>
          <w:rFonts w:ascii="Arial" w:cs="Arial" w:eastAsia="Arial" w:hAnsi="Arial"/>
          <w:sz w:val="18"/>
          <w:szCs w:val="18"/>
          <w:color w:val="auto"/>
        </w:rPr>
        <w:t>This business outlook does not include any impact of potential further changes to global trade tariffs compared to the current situation.</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Conference Call and Webcast Information</w:t>
      </w:r>
    </w:p>
    <w:p>
      <w:pPr>
        <w:spacing w:after="0" w:line="225" w:lineRule="exact"/>
        <w:rPr>
          <w:sz w:val="20"/>
          <w:szCs w:val="20"/>
          <w:color w:val="auto"/>
        </w:rPr>
      </w:pPr>
    </w:p>
    <w:p>
      <w:pPr>
        <w:ind w:left="2" w:right="100"/>
        <w:spacing w:after="0" w:line="262" w:lineRule="auto"/>
        <w:rPr>
          <w:sz w:val="20"/>
          <w:szCs w:val="20"/>
          <w:color w:val="auto"/>
        </w:rPr>
      </w:pPr>
      <w:r>
        <w:rPr>
          <w:rFonts w:ascii="Arial" w:cs="Arial" w:eastAsia="Arial" w:hAnsi="Arial"/>
          <w:sz w:val="18"/>
          <w:szCs w:val="18"/>
          <w:color w:val="auto"/>
        </w:rPr>
        <w:t>ST will conduct a conference call with analysts, investors and reporters to discuss its first quarter 2026 financial results and current business outlook today at 9:30 a.m. Central European Time (CET) / 3:30 a.m. U.S. Eastern Time (ET). A live webcast (listen-only mode) of the conference call will be accessible at ST’s website, https://investors.st.com, and will be available for replay until May 8, 2026.</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Use of Supplemental Non-U.S. GAAP Financial Information</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This press release contains supplemental non-U.S. GAAP financial information.</w:t>
      </w:r>
    </w:p>
    <w:p>
      <w:pPr>
        <w:spacing w:after="0" w:line="225" w:lineRule="exact"/>
        <w:rPr>
          <w:sz w:val="20"/>
          <w:szCs w:val="20"/>
          <w:color w:val="auto"/>
        </w:rPr>
      </w:pPr>
    </w:p>
    <w:p>
      <w:pPr>
        <w:ind w:left="2" w:right="20"/>
        <w:spacing w:after="0" w:line="259" w:lineRule="auto"/>
        <w:rPr>
          <w:sz w:val="20"/>
          <w:szCs w:val="20"/>
          <w:color w:val="auto"/>
        </w:rPr>
      </w:pPr>
      <w:r>
        <w:rPr>
          <w:rFonts w:ascii="Arial" w:cs="Arial" w:eastAsia="Arial" w:hAnsi="Arial"/>
          <w:sz w:val="18"/>
          <w:szCs w:val="18"/>
          <w:color w:val="auto"/>
        </w:rPr>
        <w:t>Readers are cautioned that these measures are unaudited and not prepared in accordance with U.S. GAAP and should not be considered as a substitute for U.S. GAAP financial measures. In addition, such non-U.S. GAAP financial measures may not be comparable to similarly titled information from other companies. To compensate for these limitations, the supplemental non-U.S. GAAP financial information should not be read in isolation, but only in conjunction with ST’s consolidated financial statements prepared in accordance with U.S. GAAP.</w:t>
      </w:r>
    </w:p>
    <w:p>
      <w:pPr>
        <w:spacing w:after="0" w:line="179" w:lineRule="exact"/>
        <w:rPr>
          <w:sz w:val="20"/>
          <w:szCs w:val="20"/>
          <w:color w:val="auto"/>
        </w:rPr>
      </w:pPr>
    </w:p>
    <w:p>
      <w:pPr>
        <w:ind w:left="2" w:right="1020"/>
        <w:spacing w:after="0" w:line="287" w:lineRule="auto"/>
        <w:rPr>
          <w:sz w:val="20"/>
          <w:szCs w:val="20"/>
          <w:color w:val="auto"/>
        </w:rPr>
      </w:pPr>
      <w:r>
        <w:rPr>
          <w:rFonts w:ascii="Arial" w:cs="Arial" w:eastAsia="Arial" w:hAnsi="Arial"/>
          <w:sz w:val="18"/>
          <w:szCs w:val="18"/>
          <w:color w:val="auto"/>
        </w:rPr>
        <w:t>See the Appendix of this press release for a reconciliation of ST’s non-U.S. GAAP financial measures to their corresponding U.S. GAAP financial measures.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227" w:lineRule="exact"/>
        <w:rPr>
          <w:sz w:val="20"/>
          <w:szCs w:val="20"/>
          <w:color w:val="auto"/>
        </w:rPr>
      </w:pPr>
    </w:p>
    <w:p>
      <w:pPr>
        <w:jc w:val="both"/>
        <w:ind w:left="2" w:right="200"/>
        <w:spacing w:after="0" w:line="277" w:lineRule="auto"/>
        <w:rPr>
          <w:sz w:val="20"/>
          <w:szCs w:val="20"/>
          <w:color w:val="auto"/>
        </w:rPr>
      </w:pPr>
      <w:r>
        <w:rPr>
          <w:rFonts w:ascii="Arial" w:cs="Arial" w:eastAsia="Arial" w:hAnsi="Arial"/>
          <w:sz w:val="17"/>
          <w:szCs w:val="17"/>
          <w:i w:val="1"/>
          <w:iCs w:val="1"/>
          <w:color w:val="auto"/>
        </w:rPr>
        <w:t>Some of the statements contained in this release that are not historical facts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spacing w:after="0" w:line="168" w:lineRule="exact"/>
        <w:rPr>
          <w:sz w:val="20"/>
          <w:szCs w:val="20"/>
          <w:color w:val="auto"/>
        </w:rPr>
      </w:pPr>
    </w:p>
    <w:p>
      <w:pPr>
        <w:jc w:val="both"/>
        <w:ind w:left="322" w:right="200" w:hanging="322"/>
        <w:spacing w:after="0" w:line="275"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changes in global trade policies, including the continuation, adoption and expansion of tariffs and trade barriers and sanctions, that are affecting and could further affect the macro-economic environment and are adversely impacting and could further adversely impact the demand for our products;</w:t>
      </w:r>
    </w:p>
    <w:p>
      <w:pPr>
        <w:spacing w:after="0" w:line="3" w:lineRule="exact"/>
        <w:rPr>
          <w:rFonts w:ascii="Arial" w:cs="Arial" w:eastAsia="Arial" w:hAnsi="Arial"/>
          <w:sz w:val="18"/>
          <w:szCs w:val="18"/>
          <w:color w:val="auto"/>
        </w:rPr>
      </w:pPr>
    </w:p>
    <w:p>
      <w:pPr>
        <w:ind w:left="322" w:right="680" w:hanging="322"/>
        <w:spacing w:after="0" w:line="300"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uncertain macro-economic and industry trends (such as inflation and fluctuations in supply chains), which are impacting and may further impact production capacity and end-market demand for our products;</w:t>
      </w:r>
    </w:p>
    <w:p>
      <w:pPr>
        <w:spacing w:after="0" w:line="372"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002052"/>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 w:right="120" w:hanging="322"/>
        <w:spacing w:after="0" w:line="278"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customer demand that differs from projections which may require us to undertake transformation measures that may not be successful in realizing the expected benefits in full or at all;</w:t>
      </w: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ability to design, manufacture and sell innovative products in a rapidly changing technological environment;</w:t>
      </w:r>
    </w:p>
    <w:p>
      <w:pPr>
        <w:spacing w:after="0" w:line="28" w:lineRule="exact"/>
        <w:rPr>
          <w:rFonts w:ascii="Arial" w:cs="Arial" w:eastAsia="Arial" w:hAnsi="Arial"/>
          <w:sz w:val="18"/>
          <w:szCs w:val="18"/>
          <w:color w:val="auto"/>
        </w:rPr>
      </w:pPr>
    </w:p>
    <w:p>
      <w:pPr>
        <w:ind w:left="322" w:right="160" w:hanging="322"/>
        <w:spacing w:after="0" w:line="279"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1" w:lineRule="exact"/>
        <w:rPr>
          <w:rFonts w:ascii="Arial" w:cs="Arial" w:eastAsia="Arial" w:hAnsi="Arial"/>
          <w:sz w:val="18"/>
          <w:szCs w:val="18"/>
          <w:color w:val="auto"/>
        </w:rPr>
      </w:pPr>
    </w:p>
    <w:p>
      <w:pPr>
        <w:ind w:left="322" w:right="120" w:hanging="322"/>
        <w:spacing w:after="0" w:line="276"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unanticipated events or circumstances, which may impact our ability to execute our plans and/or meet the objectives of our research and development and manufacturing programs, which benefit from public funding;</w:t>
      </w:r>
    </w:p>
    <w:p>
      <w:pPr>
        <w:spacing w:after="0" w:line="2"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financial difficulties with any of our major distributors or significant curtailment of purchases by key customers;</w:t>
      </w:r>
    </w:p>
    <w:p>
      <w:pPr>
        <w:spacing w:after="0" w:line="36" w:lineRule="exact"/>
        <w:rPr>
          <w:rFonts w:ascii="Arial" w:cs="Arial" w:eastAsia="Arial" w:hAnsi="Arial"/>
          <w:sz w:val="18"/>
          <w:szCs w:val="18"/>
          <w:color w:val="auto"/>
        </w:rPr>
      </w:pPr>
    </w:p>
    <w:p>
      <w:pPr>
        <w:ind w:left="322" w:right="300" w:hanging="322"/>
        <w:spacing w:after="0" w:line="272"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loading, product mix, and manufacturing performance of our production facilities and/or our required volume to fulfill capacity reserved with suppliers or third-party manufacturing providers;</w:t>
      </w:r>
    </w:p>
    <w:p>
      <w:pPr>
        <w:spacing w:after="0" w:line="3" w:lineRule="exact"/>
        <w:rPr>
          <w:rFonts w:ascii="Arial" w:cs="Arial" w:eastAsia="Arial" w:hAnsi="Arial"/>
          <w:sz w:val="18"/>
          <w:szCs w:val="18"/>
          <w:color w:val="auto"/>
        </w:rPr>
      </w:pPr>
    </w:p>
    <w:p>
      <w:pPr>
        <w:ind w:left="322" w:hanging="322"/>
        <w:spacing w:after="0" w:line="280"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availability and costs of equipment, raw materials, utilities, third-party manufacturing services and technology, or other supplies required by our operations (including increasing costs resulting from inflation);</w:t>
      </w:r>
    </w:p>
    <w:p>
      <w:pPr>
        <w:spacing w:after="0" w:line="3" w:lineRule="exact"/>
        <w:rPr>
          <w:rFonts w:ascii="Arial" w:cs="Arial" w:eastAsia="Arial" w:hAnsi="Arial"/>
          <w:sz w:val="18"/>
          <w:szCs w:val="18"/>
          <w:color w:val="auto"/>
        </w:rPr>
      </w:pPr>
    </w:p>
    <w:p>
      <w:pPr>
        <w:jc w:val="both"/>
        <w:ind w:left="322" w:right="220" w:hanging="322"/>
        <w:spacing w:after="0" w:line="275"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3" w:lineRule="exact"/>
        <w:rPr>
          <w:rFonts w:ascii="Arial" w:cs="Arial" w:eastAsia="Arial" w:hAnsi="Arial"/>
          <w:sz w:val="18"/>
          <w:szCs w:val="18"/>
          <w:color w:val="auto"/>
        </w:rPr>
      </w:pPr>
    </w:p>
    <w:p>
      <w:pPr>
        <w:ind w:left="322" w:right="200" w:hanging="322"/>
        <w:spacing w:after="0" w:line="272"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theft, loss, or misuse of personal data about our employees, customers, or other third parties, and breaches of data privacy legislation;</w:t>
      </w:r>
    </w:p>
    <w:p>
      <w:pPr>
        <w:spacing w:after="0" w:line="3" w:lineRule="exact"/>
        <w:rPr>
          <w:rFonts w:ascii="Arial" w:cs="Arial" w:eastAsia="Arial" w:hAnsi="Arial"/>
          <w:sz w:val="18"/>
          <w:szCs w:val="18"/>
          <w:color w:val="auto"/>
        </w:rPr>
      </w:pPr>
    </w:p>
    <w:p>
      <w:pPr>
        <w:ind w:left="322" w:right="300" w:hanging="322"/>
        <w:spacing w:after="0" w:line="316"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impact of intellectual property claims by our competitors or other third parties, and our ability to obtain required licenses on reasonable terms and conditions;</w:t>
      </w:r>
    </w:p>
    <w:p>
      <w:pPr>
        <w:sectPr>
          <w:pgSz w:w="11900" w:h="16838" w:orient="portrait"/>
          <w:cols w:equalWidth="0" w:num="1">
            <w:col w:w="9682"/>
          </w:cols>
          <w:pgMar w:left="1258" w:top="94" w:right="959" w:bottom="0" w:gutter="0" w:footer="0" w:header="0"/>
        </w:sectPr>
      </w:pPr>
    </w:p>
    <w:bookmarkStart w:id="5" w:name="page6"/>
    <w:bookmarkEnd w:id="5"/>
    <w:p>
      <w:pPr>
        <w:ind w:left="322" w:right="180" w:hanging="322"/>
        <w:spacing w:after="0" w:line="237"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8" w:lineRule="exact"/>
        <w:rPr>
          <w:rFonts w:ascii="Arial" w:cs="Arial" w:eastAsia="Arial" w:hAnsi="Arial"/>
          <w:sz w:val="18"/>
          <w:szCs w:val="18"/>
          <w:color w:val="auto"/>
        </w:rPr>
      </w:pPr>
    </w:p>
    <w:p>
      <w:pPr>
        <w:ind w:left="322" w:right="160" w:hanging="322"/>
        <w:spacing w:after="0" w:line="278"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variations in the foreign exchange markets and, more particularly, the U.S. dollar exchange rate as compared to the Euro and the other major currencies we use for our operations;</w:t>
      </w: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 outcome of ongoing litigation as well as the impact of any new litigation to which we may become a defendant;</w:t>
      </w:r>
    </w:p>
    <w:p>
      <w:pPr>
        <w:spacing w:after="0" w:line="28" w:lineRule="exact"/>
        <w:rPr>
          <w:rFonts w:ascii="Arial" w:cs="Arial" w:eastAsia="Arial" w:hAnsi="Arial"/>
          <w:sz w:val="18"/>
          <w:szCs w:val="18"/>
          <w:color w:val="auto"/>
        </w:rPr>
      </w:pPr>
    </w:p>
    <w:p>
      <w:pPr>
        <w:ind w:left="322" w:right="620" w:hanging="322"/>
        <w:spacing w:after="0" w:line="280"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product liability or warranty claims, claims based on epidemic or delivery failure, or other claims relating to our products, or recalls by our customers for products containing our parts;</w:t>
      </w:r>
    </w:p>
    <w:p>
      <w:pPr>
        <w:spacing w:after="0" w:line="3" w:lineRule="exact"/>
        <w:rPr>
          <w:rFonts w:ascii="Arial" w:cs="Arial" w:eastAsia="Arial" w:hAnsi="Arial"/>
          <w:sz w:val="18"/>
          <w:szCs w:val="18"/>
          <w:color w:val="auto"/>
        </w:rPr>
      </w:pPr>
    </w:p>
    <w:p>
      <w:pPr>
        <w:ind w:left="322" w:right="100" w:hanging="322"/>
        <w:spacing w:after="0" w:line="275"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natural events such as severe weather, earthquakes, tsunamis, volcano eruptions or other acts of nature, the effects of climate change, health risks and epidemics or pandemics in locations where we, our customers or our suppliers operate;</w:t>
      </w:r>
    </w:p>
    <w:p>
      <w:pPr>
        <w:spacing w:after="0" w:line="3" w:lineRule="exact"/>
        <w:rPr>
          <w:rFonts w:ascii="Arial" w:cs="Arial" w:eastAsia="Arial" w:hAnsi="Arial"/>
          <w:sz w:val="18"/>
          <w:szCs w:val="18"/>
          <w:color w:val="auto"/>
        </w:rPr>
      </w:pPr>
    </w:p>
    <w:p>
      <w:pPr>
        <w:ind w:left="322" w:right="240" w:hanging="322"/>
        <w:spacing w:after="0" w:line="277"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spacing w:after="0" w:line="2" w:lineRule="exact"/>
        <w:rPr>
          <w:rFonts w:ascii="Arial" w:cs="Arial" w:eastAsia="Arial" w:hAnsi="Arial"/>
          <w:sz w:val="18"/>
          <w:szCs w:val="18"/>
          <w:color w:val="auto"/>
        </w:rPr>
      </w:pPr>
    </w:p>
    <w:p>
      <w:pPr>
        <w:ind w:left="322" w:right="240" w:hanging="322"/>
        <w:spacing w:after="0" w:line="27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epidemics or pandemics, which may negatively impact the global economy in a significant manner for an extended period of time, and could also materially adversely affect our business and operating results;</w:t>
      </w:r>
    </w:p>
    <w:p>
      <w:pPr>
        <w:spacing w:after="0" w:line="3" w:lineRule="exact"/>
        <w:rPr>
          <w:rFonts w:ascii="Arial" w:cs="Arial" w:eastAsia="Arial" w:hAnsi="Arial"/>
          <w:sz w:val="18"/>
          <w:szCs w:val="18"/>
          <w:color w:val="auto"/>
        </w:rPr>
      </w:pPr>
    </w:p>
    <w:p>
      <w:pPr>
        <w:ind w:left="322" w:right="820" w:hanging="322"/>
        <w:spacing w:after="0" w:line="280"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industry changes resulting from vertical and horizontal consolidation among our suppliers, competitors, and customers;</w:t>
      </w:r>
    </w:p>
    <w:p>
      <w:pPr>
        <w:spacing w:after="0" w:line="3" w:lineRule="exact"/>
        <w:rPr>
          <w:rFonts w:ascii="Arial" w:cs="Arial" w:eastAsia="Arial" w:hAnsi="Arial"/>
          <w:sz w:val="18"/>
          <w:szCs w:val="18"/>
          <w:color w:val="auto"/>
        </w:rPr>
      </w:pPr>
    </w:p>
    <w:p>
      <w:pPr>
        <w:ind w:left="322" w:right="120" w:hanging="322"/>
        <w:spacing w:after="0" w:line="288" w:lineRule="auto"/>
        <w:tabs>
          <w:tab w:leader="none" w:pos="322"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the ability to successfully ramp up new programs that could be impacted by factors beyond our control, including the availability of critical third-party components and performance of subcontractors in line with our expectations; and</w:t>
      </w:r>
    </w:p>
    <w:p>
      <w:pPr>
        <w:spacing w:after="0" w:line="3" w:lineRule="exact"/>
        <w:rPr>
          <w:rFonts w:ascii="Arial" w:cs="Arial" w:eastAsia="Arial" w:hAnsi="Arial"/>
          <w:sz w:val="17"/>
          <w:szCs w:val="17"/>
          <w:color w:val="auto"/>
        </w:rPr>
      </w:pPr>
    </w:p>
    <w:p>
      <w:pPr>
        <w:ind w:left="322" w:right="60" w:hanging="322"/>
        <w:spacing w:after="0" w:line="299"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-3583305</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38" w:lineRule="exact"/>
        <w:rPr>
          <w:sz w:val="20"/>
          <w:szCs w:val="20"/>
          <w:color w:val="auto"/>
        </w:rPr>
      </w:pPr>
    </w:p>
    <w:p>
      <w:pPr>
        <w:ind w:left="2" w:right="100"/>
        <w:spacing w:after="0" w:line="259" w:lineRule="auto"/>
        <w:rPr>
          <w:sz w:val="20"/>
          <w:szCs w:val="20"/>
          <w:color w:val="auto"/>
        </w:rPr>
      </w:pPr>
      <w:r>
        <w:rPr>
          <w:rFonts w:ascii="Arial" w:cs="Arial" w:eastAsia="Arial" w:hAnsi="Arial"/>
          <w:sz w:val="18"/>
          <w:szCs w:val="18"/>
          <w:i w:val="1"/>
          <w:iCs w:val="1"/>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w:t>
      </w:r>
    </w:p>
    <w:p>
      <w:pPr>
        <w:spacing w:after="0" w:line="179" w:lineRule="exact"/>
        <w:rPr>
          <w:sz w:val="20"/>
          <w:szCs w:val="20"/>
          <w:color w:val="auto"/>
        </w:rPr>
      </w:pPr>
    </w:p>
    <w:p>
      <w:pPr>
        <w:ind w:left="2" w:right="440"/>
        <w:spacing w:after="0" w:line="316" w:lineRule="auto"/>
        <w:rPr>
          <w:sz w:val="20"/>
          <w:szCs w:val="20"/>
          <w:color w:val="auto"/>
        </w:rPr>
      </w:pPr>
      <w:r>
        <w:rPr>
          <w:rFonts w:ascii="Arial" w:cs="Arial" w:eastAsia="Arial" w:hAnsi="Arial"/>
          <w:sz w:val="17"/>
          <w:szCs w:val="17"/>
          <w:i w:val="1"/>
          <w:iCs w:val="1"/>
          <w:color w:val="auto"/>
        </w:rPr>
        <w:t>Some of these risk factors are set forth and are discussed in more detail in “Item 3. Key Information — Risk Factors” included in our Annual Report on Form 20-F for the year ended December 31, 2025 as filed with the Securities and</w:t>
      </w:r>
    </w:p>
    <w:p>
      <w:pPr>
        <w:spacing w:after="0" w:line="200" w:lineRule="exact"/>
        <w:rPr>
          <w:sz w:val="20"/>
          <w:szCs w:val="20"/>
          <w:color w:val="auto"/>
        </w:rPr>
      </w:pPr>
    </w:p>
    <w:p>
      <w:pPr>
        <w:spacing w:after="0" w:line="282" w:lineRule="exact"/>
        <w:rPr>
          <w:sz w:val="20"/>
          <w:szCs w:val="20"/>
          <w:color w:val="auto"/>
        </w:rPr>
      </w:pPr>
    </w:p>
    <w:p>
      <w:pPr>
        <w:jc w:val="center"/>
        <w:ind w:right="238"/>
        <w:spacing w:after="0"/>
        <w:rPr>
          <w:sz w:val="20"/>
          <w:szCs w:val="20"/>
          <w:color w:val="auto"/>
        </w:rPr>
      </w:pPr>
      <w:r>
        <w:rPr>
          <w:rFonts w:ascii="Arial" w:cs="Arial" w:eastAsia="Arial" w:hAnsi="Arial"/>
          <w:sz w:val="18"/>
          <w:szCs w:val="18"/>
          <w:color w:val="002052"/>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 w:right="40"/>
        <w:spacing w:after="0" w:line="262" w:lineRule="auto"/>
        <w:rPr>
          <w:sz w:val="20"/>
          <w:szCs w:val="20"/>
          <w:color w:val="auto"/>
        </w:rPr>
      </w:pPr>
      <w:r>
        <w:rPr>
          <w:rFonts w:ascii="Arial" w:cs="Arial" w:eastAsia="Arial" w:hAnsi="Arial"/>
          <w:sz w:val="18"/>
          <w:szCs w:val="18"/>
          <w:i w:val="1"/>
          <w:iCs w:val="1"/>
          <w:color w:val="auto"/>
        </w:rPr>
        <w:t>Exchange Commission (“SEC”) on February 26, 2026. Should one or more of these risks or uncertainties materialize, or should underlying assumptions prove incorrect, actual results may vary materially from those described in this press release as anticipated, believed or expected. We do not intend, and do not assume any obligation, to update any industry information or forward-looking statements set forth in this release to reflect subsequent events or circumstances.</w:t>
      </w:r>
    </w:p>
    <w:p>
      <w:pPr>
        <w:spacing w:after="0" w:line="176" w:lineRule="exact"/>
        <w:rPr>
          <w:sz w:val="20"/>
          <w:szCs w:val="20"/>
          <w:color w:val="auto"/>
        </w:rPr>
      </w:pPr>
    </w:p>
    <w:p>
      <w:pPr>
        <w:ind w:left="2"/>
        <w:spacing w:after="0" w:line="285" w:lineRule="auto"/>
        <w:rPr>
          <w:sz w:val="20"/>
          <w:szCs w:val="20"/>
          <w:color w:val="auto"/>
        </w:rPr>
      </w:pPr>
      <w:r>
        <w:rPr>
          <w:rFonts w:ascii="Arial" w:cs="Arial" w:eastAsia="Arial" w:hAnsi="Arial"/>
          <w:sz w:val="18"/>
          <w:szCs w:val="18"/>
          <w:i w:val="1"/>
          <w:iCs w:val="1"/>
          <w:color w:val="auto"/>
        </w:rPr>
        <w:t>Unfavorable changes in the above or other factors listed under “Item 3. Key Information — Risk Factors” from time to time in our SEC filings, could have a material adverse effect on our business and/or financial condition.</w:t>
      </w:r>
    </w:p>
    <w:p>
      <w:pPr>
        <w:spacing w:after="0" w:line="181" w:lineRule="exact"/>
        <w:rPr>
          <w:sz w:val="20"/>
          <w:szCs w:val="20"/>
          <w:color w:val="auto"/>
        </w:rPr>
      </w:pPr>
    </w:p>
    <w:p>
      <w:pPr>
        <w:ind w:left="22"/>
        <w:spacing w:after="0"/>
        <w:rPr>
          <w:sz w:val="20"/>
          <w:szCs w:val="20"/>
          <w:color w:val="auto"/>
        </w:rPr>
      </w:pPr>
      <w:r>
        <w:rPr>
          <w:rFonts w:ascii="Arial" w:cs="Arial" w:eastAsia="Arial" w:hAnsi="Arial"/>
          <w:sz w:val="18"/>
          <w:szCs w:val="18"/>
          <w:b w:val="1"/>
          <w:bCs w:val="1"/>
          <w:u w:val="single" w:color="auto"/>
          <w:color w:val="auto"/>
        </w:rPr>
        <w:t>About STMicroelectronics</w:t>
      </w:r>
    </w:p>
    <w:p>
      <w:pPr>
        <w:spacing w:after="0" w:line="239" w:lineRule="exact"/>
        <w:rPr>
          <w:sz w:val="20"/>
          <w:szCs w:val="20"/>
          <w:color w:val="auto"/>
        </w:rPr>
      </w:pPr>
    </w:p>
    <w:p>
      <w:pPr>
        <w:ind w:left="2" w:right="40"/>
        <w:spacing w:after="0" w:line="255" w:lineRule="auto"/>
        <w:rPr>
          <w:sz w:val="20"/>
          <w:szCs w:val="20"/>
          <w:color w:val="auto"/>
        </w:rPr>
      </w:pPr>
      <w:r>
        <w:rPr>
          <w:rFonts w:ascii="Arial" w:cs="Arial" w:eastAsia="Arial" w:hAnsi="Arial"/>
          <w:sz w:val="18"/>
          <w:szCs w:val="18"/>
          <w:color w:val="auto"/>
        </w:rPr>
        <w:t>At ST, we are 48,000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www.st.com.</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8"/>
          <w:szCs w:val="18"/>
          <w:color w:val="auto"/>
        </w:rPr>
        <w:t>Jérôme Ramel</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EVP Corporate Development &amp; Integrated External Communication</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Tel: +41 22 929 59 20</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0000FF"/>
        </w:rPr>
        <w:t>jerome.ramel@st.com</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MEDIA RELATIONS:</w:t>
      </w:r>
    </w:p>
    <w:p>
      <w:pPr>
        <w:sectPr>
          <w:pgSz w:w="11900" w:h="16838" w:orient="portrait"/>
          <w:cols w:equalWidth="0" w:num="1">
            <w:col w:w="9662"/>
          </w:cols>
          <w:pgMar w:left="1258" w:top="81" w:right="979" w:bottom="0" w:gutter="0" w:footer="0" w:header="0"/>
        </w:sectPr>
      </w:pPr>
    </w:p>
    <w:bookmarkStart w:id="6" w:name="page7"/>
    <w:bookmarkEnd w:id="6"/>
    <w:p>
      <w:pPr>
        <w:spacing w:after="0" w:line="9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Alexis Breton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-67310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Corporate External Communications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Tel: + 33 6 59 16 79 08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alexis.breton@st.com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002052"/>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 share data ($))</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567"/>
        </w:trPr>
        <w:tc>
          <w:tcPr>
            <w:tcW w:w="6360" w:type="dxa"/>
            <w:vAlign w:val="bottom"/>
          </w:tcPr>
          <w:p>
            <w:pPr>
              <w:spacing w:after="0"/>
              <w:rPr>
                <w:sz w:val="24"/>
                <w:szCs w:val="24"/>
                <w:color w:val="auto"/>
              </w:rPr>
            </w:pPr>
          </w:p>
        </w:tc>
        <w:tc>
          <w:tcPr>
            <w:tcW w:w="1820" w:type="dxa"/>
            <w:vAlign w:val="bottom"/>
            <w:gridSpan w:val="3"/>
          </w:tcPr>
          <w:p>
            <w:pPr>
              <w:jc w:val="right"/>
              <w:ind w:right="620"/>
              <w:spacing w:after="0"/>
              <w:rPr>
                <w:sz w:val="20"/>
                <w:szCs w:val="20"/>
                <w:color w:val="auto"/>
              </w:rPr>
            </w:pPr>
            <w:r>
              <w:rPr>
                <w:rFonts w:ascii="Times New Roman" w:cs="Times New Roman" w:eastAsia="Times New Roman" w:hAnsi="Times New Roman"/>
                <w:sz w:val="17"/>
                <w:szCs w:val="17"/>
                <w:color w:val="auto"/>
              </w:rPr>
              <w:t>March 28,</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March 29,</w:t>
            </w:r>
          </w:p>
        </w:tc>
      </w:tr>
      <w:tr>
        <w:trPr>
          <w:trHeight w:val="284"/>
        </w:trPr>
        <w:tc>
          <w:tcPr>
            <w:tcW w:w="6360" w:type="dxa"/>
            <w:vAlign w:val="bottom"/>
          </w:tcPr>
          <w:p>
            <w:pPr>
              <w:spacing w:after="0"/>
              <w:rPr>
                <w:sz w:val="24"/>
                <w:szCs w:val="24"/>
                <w:color w:val="auto"/>
              </w:rPr>
            </w:pPr>
          </w:p>
        </w:tc>
        <w:tc>
          <w:tcPr>
            <w:tcW w:w="15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tcPr>
          <w:p>
            <w:pPr>
              <w:spacing w:after="0"/>
              <w:rPr>
                <w:sz w:val="24"/>
                <w:szCs w:val="24"/>
                <w:color w:val="auto"/>
              </w:rPr>
            </w:pPr>
          </w:p>
        </w:tc>
        <w:tc>
          <w:tcPr>
            <w:tcW w:w="1200" w:type="dxa"/>
            <w:vAlign w:val="bottom"/>
            <w:gridSpan w:val="2"/>
          </w:tcPr>
          <w:p>
            <w:pPr>
              <w:jc w:val="right"/>
              <w:ind w:right="375"/>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4"/>
                <w:szCs w:val="24"/>
                <w:color w:val="auto"/>
              </w:rPr>
            </w:pPr>
          </w:p>
        </w:tc>
      </w:tr>
      <w:tr>
        <w:trPr>
          <w:trHeight w:val="245"/>
        </w:trPr>
        <w:tc>
          <w:tcPr>
            <w:tcW w:w="6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(Unaudited)</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(Unaudited)</w:t>
            </w:r>
          </w:p>
        </w:tc>
        <w:tc>
          <w:tcPr>
            <w:tcW w:w="80" w:type="dxa"/>
            <w:vAlign w:val="bottom"/>
          </w:tcPr>
          <w:p>
            <w:pPr>
              <w:spacing w:after="0"/>
              <w:rPr>
                <w:sz w:val="21"/>
                <w:szCs w:val="21"/>
                <w:color w:val="auto"/>
              </w:rPr>
            </w:pPr>
          </w:p>
        </w:tc>
      </w:tr>
      <w:tr>
        <w:trPr>
          <w:trHeight w:val="572"/>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3,089</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2,513</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6</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3,095</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2,517</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(2,050)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(1,676)</w:t>
            </w: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1,045</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841</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(429)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(520)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and expenses, net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45</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r>
      <w:tr>
        <w:trPr>
          <w:trHeight w:val="270"/>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Impairment, restructuring charges and other related phase-out costs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(71)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(975)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311"/>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w:t>
            </w: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net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26</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48</w:t>
            </w:r>
          </w:p>
        </w:tc>
      </w:tr>
      <w:tr>
        <w:trPr>
          <w:trHeight w:val="270"/>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Other components of pension benefit costs</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financial instruments, net</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(39)</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TAXES AND NONCONTROLLING INTEREST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53</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72</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43</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59</w:t>
            </w:r>
          </w:p>
        </w:tc>
      </w:tr>
    </w:tbl>
    <w:p>
      <w:pPr>
        <w:sectPr>
          <w:pgSz w:w="11900" w:h="16929" w:orient="portrait"/>
          <w:cols w:equalWidth="0" w:num="1">
            <w:col w:w="9460"/>
          </w:cols>
          <w:pgMar w:left="1120" w:top="40" w:right="1319" w:bottom="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Net</w:t>
      </w:r>
      <w:r>
        <w:rPr>
          <w:rFonts w:ascii="Times New Roman" w:cs="Times New Roman" w:eastAsia="Times New Roman" w:hAnsi="Times New Roman"/>
          <w:sz w:val="17"/>
          <w:szCs w:val="17"/>
          <w:b w:val="1"/>
          <w:bCs w:val="1"/>
          <w:color w:val="auto"/>
        </w:rPr>
        <w:t>STMi</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b w:val="1"/>
          <w:bCs w:val="1"/>
          <w:color w:val="auto"/>
        </w:rPr>
        <w:t>croelectronics</w:t>
      </w:r>
      <w:r>
        <w:rPr>
          <w:rFonts w:ascii="Times New Roman" w:cs="Times New Roman" w:eastAsia="Times New Roman" w:hAnsi="Times New Roman"/>
          <w:sz w:val="17"/>
          <w:szCs w:val="17"/>
          <w:color w:val="auto"/>
        </w:rPr>
        <w:t>omeattibutable</w:t>
      </w:r>
      <w:r>
        <w:rPr>
          <w:rFonts w:ascii="Times New Roman" w:cs="Times New Roman" w:eastAsia="Times New Roman" w:hAnsi="Times New Roman"/>
          <w:sz w:val="17"/>
          <w:szCs w:val="17"/>
          <w:b w:val="1"/>
          <w:bCs w:val="1"/>
          <w:color w:val="auto"/>
        </w:rPr>
        <w:t>N.V</w:t>
      </w:r>
      <w:r>
        <w:rPr>
          <w:rFonts w:ascii="Times New Roman" w:cs="Times New Roman" w:eastAsia="Times New Roman" w:hAnsi="Times New Roman"/>
          <w:sz w:val="17"/>
          <w:szCs w:val="17"/>
          <w:color w:val="auto"/>
        </w:rPr>
        <w:t>to</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noncontrolling interest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PARENT COMPANY STOCKHOLDERS</w:t>
      </w:r>
    </w:p>
    <w:p>
      <w:pPr>
        <w:spacing w:after="0" w:line="385"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b w:val="1"/>
          <w:bCs w:val="1"/>
          <w:color w:val="auto"/>
        </w:rPr>
        <w:t>EARNINGS PER SHARE (BASIC) ATTRIBUTABLE TO PARENT COMPANY STOCKHOLDERS</w:t>
      </w:r>
    </w:p>
    <w:p>
      <w:pPr>
        <w:spacing w:after="0" w:line="319" w:lineRule="auto"/>
        <w:rPr>
          <w:sz w:val="20"/>
          <w:szCs w:val="20"/>
          <w:color w:val="auto"/>
        </w:rPr>
      </w:pPr>
      <w:r>
        <w:rPr>
          <w:rFonts w:ascii="Times New Roman" w:cs="Times New Roman" w:eastAsia="Times New Roman" w:hAnsi="Times New Roman"/>
          <w:sz w:val="17"/>
          <w:szCs w:val="17"/>
          <w:b w:val="1"/>
          <w:bCs w:val="1"/>
          <w:color w:val="auto"/>
        </w:rPr>
        <w:t>EARNINGS PER SHARE (DILUTED) ATTRIBUTABLE TO PARENT COMPANY STOCKHOLDERS</w:t>
      </w:r>
    </w:p>
    <w:p>
      <w:pPr>
        <w:spacing w:after="0" w:line="236" w:lineRule="exact"/>
        <w:rPr>
          <w:sz w:val="20"/>
          <w:szCs w:val="20"/>
          <w:color w:val="auto"/>
        </w:rPr>
      </w:pPr>
    </w:p>
    <w:p>
      <w:pPr>
        <w:ind w:right="460"/>
        <w:spacing w:after="0" w:line="319" w:lineRule="auto"/>
        <w:rPr>
          <w:sz w:val="20"/>
          <w:szCs w:val="20"/>
          <w:color w:val="auto"/>
        </w:rPr>
      </w:pPr>
      <w:r>
        <w:rPr>
          <w:rFonts w:ascii="Times New Roman" w:cs="Times New Roman" w:eastAsia="Times New Roman" w:hAnsi="Times New Roman"/>
          <w:sz w:val="17"/>
          <w:szCs w:val="17"/>
          <w:b w:val="1"/>
          <w:bCs w:val="1"/>
          <w:color w:val="auto"/>
        </w:rPr>
        <w:t>NUMBER OF WEIGHTED AVERAGE SHARES USED IN CALCULATING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0"/>
        <w:spacing w:after="0"/>
        <w:rPr>
          <w:sz w:val="20"/>
          <w:szCs w:val="20"/>
          <w:color w:val="auto"/>
        </w:rPr>
      </w:pPr>
      <w:r>
        <w:rPr>
          <w:rFonts w:ascii="Arial" w:cs="Arial" w:eastAsia="Arial" w:hAnsi="Arial"/>
          <w:sz w:val="18"/>
          <w:szCs w:val="18"/>
          <w:color w:val="002052"/>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97"/>
        </w:trPr>
        <w:tc>
          <w:tcPr>
            <w:tcW w:w="20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37</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r>
      <w:tr>
        <w:trPr>
          <w:trHeight w:val="580"/>
        </w:trPr>
        <w:tc>
          <w:tcPr>
            <w:tcW w:w="20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0.04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r>
      <w:tr>
        <w:trPr>
          <w:trHeight w:val="473"/>
        </w:trPr>
        <w:tc>
          <w:tcPr>
            <w:tcW w:w="20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0.04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r>
      <w:tr>
        <w:trPr>
          <w:trHeight w:val="421"/>
        </w:trPr>
        <w:tc>
          <w:tcPr>
            <w:tcW w:w="2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316"/>
        </w:trPr>
        <w:tc>
          <w:tcPr>
            <w:tcW w:w="20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914.5</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933.6</w:t>
            </w:r>
          </w:p>
        </w:tc>
      </w:tr>
      <w:tr>
        <w:trPr>
          <w:trHeight w:val="772"/>
        </w:trPr>
        <w:tc>
          <w:tcPr>
            <w:tcW w:w="2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560"/>
        </w:trPr>
        <w:tc>
          <w:tcPr>
            <w:tcW w:w="2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411"/>
        </w:trPr>
        <w:tc>
          <w:tcPr>
            <w:tcW w:w="2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77"/>
        </w:trPr>
        <w:tc>
          <w:tcPr>
            <w:tcW w:w="2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550" w:lineRule="exact"/>
        <w:rPr>
          <w:sz w:val="20"/>
          <w:szCs w:val="20"/>
          <w:color w:val="auto"/>
        </w:rPr>
      </w:pPr>
    </w:p>
    <w:p>
      <w:pPr>
        <w:sectPr>
          <w:pgSz w:w="11900" w:h="16858" w:orient="portrait"/>
          <w:cols w:equalWidth="0" w:num="2">
            <w:col w:w="6160" w:space="280"/>
            <w:col w:w="3040"/>
          </w:cols>
          <w:pgMar w:left="1120" w:top="145" w:right="1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at</w:t>
            </w:r>
          </w:p>
        </w:tc>
        <w:tc>
          <w:tcPr>
            <w:tcW w:w="20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March 28,</w:t>
            </w: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 of U.S. dollars</w:t>
            </w:r>
          </w:p>
        </w:tc>
        <w:tc>
          <w:tcPr>
            <w:tcW w:w="208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2026</w:t>
            </w: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30"/>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(Unaudited)</w:t>
            </w: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(Audited)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(Unaudited)</w:t>
            </w:r>
          </w:p>
        </w:tc>
      </w:tr>
      <w:tr>
        <w:trPr>
          <w:trHeight w:val="195"/>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4"/>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2,837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832</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1,745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10,827</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11,271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11,408</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10,959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11,058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11,178</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29"/>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14,303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13,529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13,515</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25,130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24,800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24,923</w:t>
            </w:r>
          </w:p>
        </w:tc>
      </w:tr>
      <w:tr>
        <w:trPr>
          <w:trHeight w:val="344"/>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7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Short-term debt</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1,440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 payable to stockholders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income tax</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3,268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3,351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3,739</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1,835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Post-employment benefit obligations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deferred tax liabilities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29"/>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3,691</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3,225</w:t>
            </w:r>
          </w:p>
        </w:tc>
      </w:tr>
      <w:tr>
        <w:trPr>
          <w:trHeight w:val="229"/>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6,959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6,575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6,964</w:t>
            </w:r>
          </w:p>
        </w:tc>
      </w:tr>
      <w:tr>
        <w:trPr>
          <w:trHeight w:val="23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Commitment and contingencies</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ectPr>
          <w:pgSz w:w="11900" w:h="16858" w:orient="portrait"/>
          <w:cols w:equalWidth="0" w:num="1">
            <w:col w:w="9480"/>
          </w:cols>
          <w:pgMar w:left="1120" w:top="145" w:right="1299" w:bottom="0" w:gutter="0" w:footer="0" w:header="0"/>
          <w:type w:val="continuous"/>
        </w:sectPr>
      </w:pPr>
    </w:p>
    <w:bookmarkStart w:id="8" w:name="page9"/>
    <w:bookmarkEnd w:id="8"/>
    <w:p>
      <w:pPr>
        <w:ind w:left="120"/>
        <w:spacing w:after="0"/>
        <w:rPr>
          <w:sz w:val="20"/>
          <w:szCs w:val="20"/>
          <w:color w:val="auto"/>
        </w:rPr>
      </w:pPr>
      <w:r>
        <w:rPr>
          <w:rFonts w:ascii="Times New Roman" w:cs="Times New Roman" w:eastAsia="Times New Roman" w:hAnsi="Times New Roman"/>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-27940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16"/>
          <w:szCs w:val="16"/>
          <w:b w:val="1"/>
          <w:bCs w:val="1"/>
          <w:color w:val="auto"/>
        </w:rPr>
        <w:t>STMicroelectronics N.V.</w:t>
      </w:r>
    </w:p>
    <w:p>
      <w:pPr>
        <w:ind w:left="120"/>
        <w:spacing w:after="0"/>
        <w:rPr>
          <w:sz w:val="20"/>
          <w:szCs w:val="20"/>
          <w:color w:val="auto"/>
        </w:rPr>
      </w:pPr>
      <w:r>
        <w:rPr>
          <w:rFonts w:ascii="Times New Roman" w:cs="Times New Roman" w:eastAsia="Times New Roman" w:hAnsi="Times New Roman"/>
          <w:sz w:val="16"/>
          <w:szCs w:val="16"/>
          <w:color w:val="auto"/>
        </w:rPr>
        <w:t>Parent company stockholders' equity</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(preferred stock: 540,000,000 shares authorized, not</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1,157</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1,157</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issued; common stock: Euro 1.04 par value, 1,200,000,000 shares</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authorized, 911,281,920 shares issued, 888,794,130 shares</w:t>
            </w:r>
          </w:p>
        </w:tc>
        <w:tc>
          <w:tcPr>
            <w:tcW w:w="15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6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March 28, 2026)</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3,331</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3,281</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13,118</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13,082</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13,514</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798</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945</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w:t>
            </w:r>
          </w:p>
        </w:tc>
        <w:tc>
          <w:tcPr>
            <w:tcW w:w="15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(636)</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parent company stockholders' equity</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17,768</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17,828</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17,726</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403</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397</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18,171</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18,225</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17,959</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5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25,130</w:t>
            </w: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24,800</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02052"/>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STMicroelectronics N.V.</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SELECTED CONSOLIDATED CASH FLOW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Cash Flow Data (in US$ millions)</w:t>
            </w:r>
          </w:p>
        </w:tc>
        <w:tc>
          <w:tcPr>
            <w:tcW w:w="1380" w:type="dxa"/>
            <w:vAlign w:val="bottom"/>
            <w:tcBorders>
              <w:top w:val="single" w:sz="8" w:color="auto"/>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Q1 2026</w:t>
            </w:r>
          </w:p>
        </w:tc>
        <w:tc>
          <w:tcPr>
            <w:tcW w:w="1400" w:type="dxa"/>
            <w:vAlign w:val="bottom"/>
            <w:tcBorders>
              <w:top w:val="single" w:sz="8" w:color="auto"/>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Q4 2025</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Q1 2025</w:t>
            </w:r>
          </w:p>
        </w:tc>
      </w:tr>
      <w:tr>
        <w:trPr>
          <w:trHeight w:val="196"/>
        </w:trPr>
        <w:tc>
          <w:tcPr>
            <w:tcW w:w="4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09"/>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674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Cash from (used in) investing activities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Cash from (used in) financing activities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Cash increase (decrease)</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838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196"/>
        </w:trPr>
        <w:tc>
          <w:tcPr>
            <w:tcW w:w="4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Selected Cash Flow Data (in US$ millions)</w:t>
            </w:r>
          </w:p>
        </w:tc>
        <w:tc>
          <w:tcPr>
            <w:tcW w:w="138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Q1 2026</w:t>
            </w:r>
          </w:p>
        </w:tc>
        <w:tc>
          <w:tcPr>
            <w:tcW w:w="14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Q4 2025</w:t>
            </w: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Q1 2025</w:t>
            </w:r>
          </w:p>
        </w:tc>
      </w:tr>
      <w:tr>
        <w:trPr>
          <w:trHeight w:val="196"/>
        </w:trPr>
        <w:tc>
          <w:tcPr>
            <w:tcW w:w="4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Depreciation &amp; amortization</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480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09"/>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payment for Capital expenditures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Payment for business acquisition</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Dividends paid to stockholders</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0"/>
        </w:trPr>
        <w:tc>
          <w:tcPr>
            <w:tcW w:w="4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Change in inventories, net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r>
    </w:tbl>
    <w:p>
      <w:pPr>
        <w:sectPr>
          <w:pgSz w:w="11900" w:h="16838" w:orient="portrait"/>
          <w:cols w:equalWidth="0" w:num="1">
            <w:col w:w="9119"/>
          </w:cols>
          <w:pgMar w:left="1340" w:top="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02052"/>
        </w:rPr>
        <w:t>10</w:t>
      </w:r>
    </w:p>
    <w:p>
      <w:pPr>
        <w:sectPr>
          <w:pgSz w:w="11900" w:h="16966" w:orient="portrait"/>
          <w:cols w:equalWidth="0" w:num="1">
            <w:col w:w="9099"/>
          </w:cols>
          <w:pgMar w:left="13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Appendix</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ST Supplemental Financial Information</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Q1 2026</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Q4 2025</w:t>
            </w:r>
          </w:p>
        </w:tc>
        <w:tc>
          <w:tcPr>
            <w:tcW w:w="98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Q3 2025</w:t>
            </w:r>
          </w:p>
        </w:tc>
        <w:tc>
          <w:tcPr>
            <w:tcW w:w="98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Q2 2025</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Q1 2025</w:t>
            </w:r>
          </w:p>
        </w:tc>
      </w:tr>
      <w:tr>
        <w:trPr>
          <w:trHeight w:val="255"/>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Net Revenues By Market Channel (%)</w:t>
            </w:r>
          </w:p>
        </w:tc>
        <w:tc>
          <w:tcPr>
            <w:tcW w:w="98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40"/>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 OEM</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Distribution</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29 %</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169"/>
        </w:trPr>
        <w:tc>
          <w:tcPr>
            <w:tcW w:w="4020" w:type="dxa"/>
            <w:vAlign w:val="bottom"/>
            <w:tcBorders>
              <w:left w:val="single" w:sz="8" w:color="auto"/>
              <w:bottom w:val="single" w:sz="8" w:color="auto"/>
              <w:right w:val="single" w:sz="8" w:color="auto"/>
            </w:tcBorders>
            <w:shd w:val="clear" w:color="auto" w:fill="D9D9D9"/>
          </w:tcPr>
          <w:p>
            <w:pPr>
              <w:spacing w:after="0"/>
              <w:rPr>
                <w:sz w:val="14"/>
                <w:szCs w:val="14"/>
                <w:color w:val="auto"/>
              </w:rPr>
            </w:pPr>
          </w:p>
        </w:tc>
        <w:tc>
          <w:tcPr>
            <w:tcW w:w="980" w:type="dxa"/>
            <w:vAlign w:val="bottom"/>
            <w:tcBorders>
              <w:bottom w:val="single" w:sz="8" w:color="auto"/>
              <w:right w:val="single" w:sz="8" w:color="auto"/>
            </w:tcBorders>
            <w:shd w:val="clear" w:color="auto" w:fill="D0D0D2"/>
          </w:tcPr>
          <w:p>
            <w:pPr>
              <w:spacing w:after="0"/>
              <w:rPr>
                <w:sz w:val="14"/>
                <w:szCs w:val="14"/>
                <w:color w:val="auto"/>
              </w:rPr>
            </w:pPr>
          </w:p>
        </w:tc>
        <w:tc>
          <w:tcPr>
            <w:tcW w:w="960" w:type="dxa"/>
            <w:vAlign w:val="bottom"/>
            <w:tcBorders>
              <w:bottom w:val="single" w:sz="8" w:color="auto"/>
              <w:right w:val="single" w:sz="8" w:color="auto"/>
            </w:tcBorders>
            <w:shd w:val="clear" w:color="auto" w:fill="D0D0D2"/>
          </w:tcPr>
          <w:p>
            <w:pPr>
              <w:spacing w:after="0"/>
              <w:rPr>
                <w:sz w:val="14"/>
                <w:szCs w:val="14"/>
                <w:color w:val="auto"/>
              </w:rPr>
            </w:pPr>
          </w:p>
        </w:tc>
        <w:tc>
          <w:tcPr>
            <w:tcW w:w="980" w:type="dxa"/>
            <w:vAlign w:val="bottom"/>
            <w:tcBorders>
              <w:bottom w:val="single" w:sz="8" w:color="auto"/>
              <w:right w:val="single" w:sz="8" w:color="auto"/>
            </w:tcBorders>
            <w:shd w:val="clear" w:color="auto" w:fill="D9D9D9"/>
          </w:tcPr>
          <w:p>
            <w:pPr>
              <w:spacing w:after="0"/>
              <w:rPr>
                <w:sz w:val="14"/>
                <w:szCs w:val="14"/>
                <w:color w:val="auto"/>
              </w:rPr>
            </w:pPr>
          </w:p>
        </w:tc>
        <w:tc>
          <w:tcPr>
            <w:tcW w:w="980" w:type="dxa"/>
            <w:vAlign w:val="bottom"/>
            <w:tcBorders>
              <w:bottom w:val="single" w:sz="8" w:color="auto"/>
              <w:right w:val="single" w:sz="8" w:color="auto"/>
            </w:tcBorders>
            <w:shd w:val="clear" w:color="auto" w:fill="D9D9D9"/>
          </w:tcPr>
          <w:p>
            <w:pPr>
              <w:spacing w:after="0"/>
              <w:rPr>
                <w:sz w:val="14"/>
                <w:szCs w:val="14"/>
                <w:color w:val="auto"/>
              </w:rPr>
            </w:pPr>
          </w:p>
        </w:tc>
        <w:tc>
          <w:tcPr>
            <w:tcW w:w="960" w:type="dxa"/>
            <w:vAlign w:val="bottom"/>
            <w:tcBorders>
              <w:bottom w:val="single" w:sz="8" w:color="auto"/>
              <w:right w:val="single" w:sz="8" w:color="auto"/>
            </w:tcBorders>
            <w:shd w:val="clear" w:color="auto" w:fill="D9D9D9"/>
          </w:tcPr>
          <w:p>
            <w:pPr>
              <w:spacing w:after="0"/>
              <w:rPr>
                <w:sz w:val="14"/>
                <w:szCs w:val="14"/>
                <w:color w:val="auto"/>
              </w:rPr>
            </w:pPr>
          </w:p>
        </w:tc>
      </w:tr>
      <w:tr>
        <w:trPr>
          <w:trHeight w:val="248"/>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Effective Rate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1.16</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1.14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1.14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1.09</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1.06</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90"/>
        </w:trPr>
        <w:tc>
          <w:tcPr>
            <w:tcW w:w="402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980" w:type="dxa"/>
            <w:vAlign w:val="bottom"/>
            <w:tcBorders>
              <w:bottom w:val="single" w:sz="8" w:color="auto"/>
              <w:right w:val="single" w:sz="8" w:color="auto"/>
            </w:tcBorders>
            <w:shd w:val="clear" w:color="auto" w:fill="D0D0D2"/>
          </w:tcPr>
          <w:p>
            <w:pPr>
              <w:spacing w:after="0"/>
              <w:rPr>
                <w:sz w:val="24"/>
                <w:szCs w:val="24"/>
                <w:color w:val="auto"/>
              </w:rPr>
            </w:pPr>
          </w:p>
        </w:tc>
        <w:tc>
          <w:tcPr>
            <w:tcW w:w="960" w:type="dxa"/>
            <w:vAlign w:val="bottom"/>
            <w:tcBorders>
              <w:bottom w:val="single" w:sz="8" w:color="auto"/>
              <w:right w:val="single" w:sz="8" w:color="auto"/>
            </w:tcBorders>
            <w:shd w:val="clear" w:color="auto" w:fill="D0D0D2"/>
          </w:tcPr>
          <w:p>
            <w:pPr>
              <w:spacing w:after="0"/>
              <w:rPr>
                <w:sz w:val="24"/>
                <w:szCs w:val="24"/>
                <w:color w:val="auto"/>
              </w:rPr>
            </w:pPr>
          </w:p>
        </w:tc>
        <w:tc>
          <w:tcPr>
            <w:tcW w:w="980" w:type="dxa"/>
            <w:vAlign w:val="bottom"/>
            <w:tcBorders>
              <w:bottom w:val="single" w:sz="8" w:color="auto"/>
              <w:right w:val="single" w:sz="8" w:color="auto"/>
            </w:tcBorders>
            <w:shd w:val="clear" w:color="auto" w:fill="D9D9D9"/>
          </w:tcPr>
          <w:p>
            <w:pPr>
              <w:spacing w:after="0"/>
              <w:rPr>
                <w:sz w:val="24"/>
                <w:szCs w:val="24"/>
                <w:color w:val="auto"/>
              </w:rPr>
            </w:pPr>
          </w:p>
        </w:tc>
        <w:tc>
          <w:tcPr>
            <w:tcW w:w="980" w:type="dxa"/>
            <w:vAlign w:val="bottom"/>
            <w:tcBorders>
              <w:bottom w:val="single" w:sz="8" w:color="auto"/>
              <w:right w:val="single" w:sz="8" w:color="auto"/>
            </w:tcBorders>
            <w:shd w:val="clear" w:color="auto" w:fill="D9D9D9"/>
          </w:tcPr>
          <w:p>
            <w:pPr>
              <w:spacing w:after="0"/>
              <w:rPr>
                <w:sz w:val="24"/>
                <w:szCs w:val="24"/>
                <w:color w:val="auto"/>
              </w:rPr>
            </w:pPr>
          </w:p>
        </w:tc>
        <w:tc>
          <w:tcPr>
            <w:tcW w:w="9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48"/>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Reportable Segment Data </w:t>
            </w:r>
            <w:r>
              <w:rPr>
                <w:rFonts w:ascii="Arial" w:cs="Arial" w:eastAsia="Arial" w:hAnsi="Arial"/>
                <w:sz w:val="18"/>
                <w:szCs w:val="18"/>
                <w:color w:val="auto"/>
              </w:rPr>
              <w:t>(US$ m)</w:t>
            </w:r>
          </w:p>
        </w:tc>
        <w:tc>
          <w:tcPr>
            <w:tcW w:w="9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04"/>
        </w:trPr>
        <w:tc>
          <w:tcPr>
            <w:tcW w:w="4020" w:type="dxa"/>
            <w:vAlign w:val="bottom"/>
            <w:tcBorders>
              <w:left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Analog products, MEMS and Sensors (AM&amp;S)</w:t>
            </w:r>
          </w:p>
        </w:tc>
        <w:tc>
          <w:tcPr>
            <w:tcW w:w="9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39"/>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1,318</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1,449</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1,434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1,133</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1,069</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Operating Income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161</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235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221</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85</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82</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Power and Discrete products (P&amp;D) segment</w:t>
            </w: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389</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412</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429</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447</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397</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Operating Income (Loss)</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(84)</w:t>
            </w: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(67)</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(56)</w:t>
            </w: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04"/>
        </w:trPr>
        <w:tc>
          <w:tcPr>
            <w:tcW w:w="4020" w:type="dxa"/>
            <w:vAlign w:val="bottom"/>
            <w:tcBorders>
              <w:left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Subtotal: Analog, Power &amp; Discrete, MEMS</w:t>
            </w:r>
          </w:p>
        </w:tc>
        <w:tc>
          <w:tcPr>
            <w:tcW w:w="9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55"/>
        </w:trPr>
        <w:tc>
          <w:tcPr>
            <w:tcW w:w="4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and Sensors (APMS) Product Group</w:t>
            </w:r>
          </w:p>
        </w:tc>
        <w:tc>
          <w:tcPr>
            <w:tcW w:w="9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255"/>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1,707</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1,861</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1,863</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1,580</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1,466</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48"/>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Operating Income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77</w:t>
            </w:r>
          </w:p>
        </w:tc>
        <w:tc>
          <w:tcPr>
            <w:tcW w:w="9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111</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29</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54</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40"/>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Embedded Processing (EMP) segment</w:t>
            </w: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975</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1,015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976</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847</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742</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Operating Income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164</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195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161</w:t>
            </w:r>
          </w:p>
        </w:tc>
        <w:tc>
          <w:tcPr>
            <w:tcW w:w="9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114</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66</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RF &amp; Optical Communications (RFOC) segment</w:t>
            </w: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409</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449</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345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336</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306</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0"/>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Operating Income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105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57</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191"/>
        </w:trPr>
        <w:tc>
          <w:tcPr>
            <w:tcW w:w="402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Subtotal: Microcontrollers, Digital ICs and</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r>
      <w:tr>
        <w:trPr>
          <w:trHeight w:val="255"/>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RF products (MDRF) Product Group</w:t>
            </w:r>
          </w:p>
        </w:tc>
        <w:tc>
          <w:tcPr>
            <w:tcW w:w="9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255"/>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1,384</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1,464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1,321</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1,183</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1,048</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48"/>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Operating Income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226</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300</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218</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174</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109</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91"/>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3"/>
                <w:szCs w:val="23"/>
                <w:i w:val="1"/>
                <w:iCs w:val="1"/>
                <w:color w:val="auto"/>
                <w:vertAlign w:val="superscript"/>
              </w:rPr>
              <w:t>(a)</w:t>
            </w:r>
          </w:p>
        </w:tc>
        <w:tc>
          <w:tcPr>
            <w:tcW w:w="9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241"/>
        </w:trPr>
        <w:tc>
          <w:tcPr>
            <w:tcW w:w="40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1"/>
        </w:trPr>
        <w:tc>
          <w:tcPr>
            <w:tcW w:w="40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Operating Income (Loss)</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(232)</w:t>
            </w: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(286)</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(192)</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(336)</w:t>
            </w: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(160)</w:t>
            </w:r>
          </w:p>
        </w:tc>
      </w:tr>
      <w:tr>
        <w:trPr>
          <w:trHeight w:val="50"/>
        </w:trPr>
        <w:tc>
          <w:tcPr>
            <w:tcW w:w="40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48"/>
        </w:trPr>
        <w:tc>
          <w:tcPr>
            <w:tcW w:w="4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48"/>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Net Revenues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3,095</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3,329</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3,187</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2,766</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2,517</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r>
        <w:trPr>
          <w:trHeight w:val="262"/>
        </w:trPr>
        <w:tc>
          <w:tcPr>
            <w:tcW w:w="4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Operating Income (Loss)</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70</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125</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180</w:t>
            </w: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(133)</w:t>
            </w: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w:t>
            </w:r>
          </w:p>
        </w:tc>
      </w:tr>
      <w:tr>
        <w:trPr>
          <w:trHeight w:val="42"/>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bl>
    <w:p>
      <w:pPr>
        <w:spacing w:after="0" w:line="79" w:lineRule="exact"/>
        <w:rPr>
          <w:sz w:val="20"/>
          <w:szCs w:val="20"/>
          <w:color w:val="auto"/>
        </w:rPr>
      </w:pPr>
    </w:p>
    <w:p>
      <w:pPr>
        <w:sectPr>
          <w:pgSz w:w="11900" w:h="16966" w:orient="portrait"/>
          <w:cols w:equalWidth="0" w:num="1">
            <w:col w:w="9099"/>
          </w:cols>
          <w:pgMar w:left="1360" w:top="1440" w:right="1440" w:bottom="0" w:gutter="0" w:footer="0" w:header="0"/>
          <w:type w:val="continuous"/>
        </w:sectPr>
      </w:pPr>
    </w:p>
    <w:p>
      <w:pPr>
        <w:ind w:left="320" w:right="479" w:hanging="318"/>
        <w:spacing w:after="0" w:line="326" w:lineRule="auto"/>
        <w:tabs>
          <w:tab w:leader="none" w:pos="320"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Net revenues of Others include revenues from sales assembly services and other revenues. Operating income (loss) of Others include items such as unused capacity charges, including incidents leading to power outage, impairment, restructuring charges and other related phase-out costs,</w:t>
      </w:r>
    </w:p>
    <w:p>
      <w:pPr>
        <w:sectPr>
          <w:pgSz w:w="11900" w:h="16966" w:orient="portrait"/>
          <w:cols w:equalWidth="0" w:num="1">
            <w:col w:w="9099"/>
          </w:cols>
          <w:pgMar w:left="1360" w:top="1440" w:right="1440" w:bottom="0" w:gutter="0" w:footer="0" w:header="0"/>
          <w:type w:val="continuous"/>
        </w:sectPr>
      </w:pPr>
    </w:p>
    <w:bookmarkStart w:id="10" w:name="page11"/>
    <w:bookmarkEnd w:id="10"/>
    <w:p>
      <w:pPr>
        <w:ind w:left="420" w:right="1140"/>
        <w:spacing w:after="0" w:line="316"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management reorganization costs, start-up costs, and other unallocated income (expenses) such as: strategic or special research and development programs, certain corporate-level operating expenses, patent claims and litigations, and other costs that are not allocated to reportable segments,</w:t>
      </w:r>
    </w:p>
    <w:p>
      <w:pPr>
        <w:spacing w:after="0" w:line="1" w:lineRule="exact"/>
        <w:rPr>
          <w:sz w:val="20"/>
          <w:szCs w:val="20"/>
          <w:color w:val="auto"/>
        </w:rPr>
      </w:pPr>
    </w:p>
    <w:p>
      <w:pPr>
        <w:ind w:left="420" w:right="1040"/>
        <w:spacing w:after="0" w:line="391" w:lineRule="auto"/>
        <w:rPr>
          <w:sz w:val="20"/>
          <w:szCs w:val="20"/>
          <w:color w:val="auto"/>
        </w:rPr>
      </w:pPr>
      <w:r>
        <w:rPr>
          <w:rFonts w:ascii="Arial" w:cs="Arial" w:eastAsia="Arial" w:hAnsi="Arial"/>
          <w:sz w:val="13"/>
          <w:szCs w:val="13"/>
          <w:i w:val="1"/>
          <w:iCs w:val="1"/>
          <w:color w:val="auto"/>
        </w:rPr>
        <w:t>operating earnings of other products as well as Purchase Price Allocation (PPA) effects from the acquisition of NXP’s MEMS sensor business. With additional cost elements included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002052"/>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10" w:type="dxa"/>
        <w:tblCellMar>
          <w:top w:w="0" w:type="dxa"/>
          <w:left w:w="0" w:type="dxa"/>
          <w:bottom w:w="0" w:type="dxa"/>
          <w:right w:w="0" w:type="dxa"/>
        </w:tblCellMar>
      </w:tblPr>
      <w:tr>
        <w:trPr>
          <w:trHeight w:val="216"/>
        </w:trPr>
        <w:tc>
          <w:tcPr>
            <w:tcW w:w="4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i w:val="1"/>
                <w:iCs w:val="1"/>
                <w:color w:val="auto"/>
              </w:rPr>
              <w:t>(US$ m)</w:t>
            </w:r>
          </w:p>
        </w:tc>
        <w:tc>
          <w:tcPr>
            <w:tcW w:w="96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Q1 2026</w:t>
            </w:r>
          </w:p>
        </w:tc>
        <w:tc>
          <w:tcPr>
            <w:tcW w:w="96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Q4 2025</w:t>
            </w:r>
          </w:p>
        </w:tc>
        <w:tc>
          <w:tcPr>
            <w:tcW w:w="96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Q3 2025</w:t>
            </w:r>
          </w:p>
        </w:tc>
        <w:tc>
          <w:tcPr>
            <w:tcW w:w="96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Q2 2025</w:t>
            </w:r>
          </w:p>
        </w:tc>
        <w:tc>
          <w:tcPr>
            <w:tcW w:w="94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Q1 2025</w:t>
            </w:r>
          </w:p>
        </w:tc>
        <w:tc>
          <w:tcPr>
            <w:tcW w:w="0" w:type="dxa"/>
            <w:vAlign w:val="bottom"/>
          </w:tcPr>
          <w:p>
            <w:pPr>
              <w:spacing w:after="0"/>
              <w:rPr>
                <w:sz w:val="1"/>
                <w:szCs w:val="1"/>
                <w:color w:val="auto"/>
              </w:rPr>
            </w:pPr>
          </w:p>
        </w:tc>
      </w:tr>
      <w:tr>
        <w:trPr>
          <w:trHeight w:val="192"/>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i w:val="1"/>
                <w:iCs w:val="1"/>
                <w:color w:val="auto"/>
              </w:rPr>
              <w:t>Unused capacity charges</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69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88</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102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103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i w:val="1"/>
                <w:iCs w:val="1"/>
                <w:color w:val="auto"/>
              </w:rPr>
              <w:t>123</w:t>
            </w:r>
          </w:p>
        </w:tc>
        <w:tc>
          <w:tcPr>
            <w:tcW w:w="0" w:type="dxa"/>
            <w:vAlign w:val="bottom"/>
          </w:tcPr>
          <w:p>
            <w:pPr>
              <w:spacing w:after="0"/>
              <w:rPr>
                <w:sz w:val="1"/>
                <w:szCs w:val="1"/>
                <w:color w:val="auto"/>
              </w:rPr>
            </w:pPr>
          </w:p>
        </w:tc>
      </w:tr>
      <w:tr>
        <w:trPr>
          <w:trHeight w:val="166"/>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Impairment, restructuring charges and</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71</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141</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37</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190</w:t>
            </w:r>
          </w:p>
        </w:tc>
        <w:tc>
          <w:tcPr>
            <w:tcW w:w="9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i w:val="1"/>
                <w:iCs w:val="1"/>
                <w:color w:val="auto"/>
              </w:rPr>
              <w:t>8</w:t>
            </w:r>
          </w:p>
        </w:tc>
        <w:tc>
          <w:tcPr>
            <w:tcW w:w="0" w:type="dxa"/>
            <w:vAlign w:val="bottom"/>
          </w:tcPr>
          <w:p>
            <w:pPr>
              <w:spacing w:after="0"/>
              <w:rPr>
                <w:sz w:val="1"/>
                <w:szCs w:val="1"/>
                <w:color w:val="auto"/>
              </w:rPr>
            </w:pPr>
          </w:p>
        </w:tc>
      </w:tr>
      <w:tr>
        <w:trPr>
          <w:trHeight w:val="113"/>
        </w:trPr>
        <w:tc>
          <w:tcPr>
            <w:tcW w:w="4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i w:val="1"/>
                <w:iCs w:val="1"/>
                <w:color w:val="auto"/>
              </w:rPr>
              <w:t>other related phase-out costs</w:t>
            </w: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0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i w:val="1"/>
                <w:iCs w:val="1"/>
                <w:color w:val="auto"/>
              </w:rPr>
              <w:t>PPA effects from the acquisition of NXP’s MEMS sensor</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30</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w:t>
            </w:r>
          </w:p>
        </w:tc>
        <w:tc>
          <w:tcPr>
            <w:tcW w:w="9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13"/>
        </w:trPr>
        <w:tc>
          <w:tcPr>
            <w:tcW w:w="4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i w:val="1"/>
                <w:iCs w:val="1"/>
                <w:color w:val="auto"/>
              </w:rPr>
              <w:t>business</w:t>
            </w: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80" w:type="dxa"/>
            <w:vAlign w:val="bottom"/>
            <w:tcBorders>
              <w:left w:val="single" w:sz="8" w:color="auto"/>
              <w:righ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(Appendix – continued)</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ST Supplemental Non-U.S. GAAP Financial Information</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U.S. GAAP – Non-U.S. GAAP Reconciliation</w:t>
      </w:r>
    </w:p>
    <w:p>
      <w:pPr>
        <w:spacing w:after="0" w:line="2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supplemental non-U.S. GAAP information presented in this press release is unaudited and subject to inherent limitations. Such non-U.S. GAAP information is not based on any comprehensive set of accounting rules or principles and should not be considered as a substitute for U.S. GAAP measures. Also, our supplemental non-U.S. GAAP financial information may not be comparable to similarly titled non-U.S. GAAP measures used by other companies. Further, specific limitations for individual non-U.S. GAAP measures, and the reasons for presenting non-U.S. GAAP financial information, are set forth in the paragraphs below. To compensate for these limitations, the supplemental non-U.S. GAAP financial information should not be read in isolation, but only in conjunction with our consolidated financial statements prepared in accordance with U.S. GAAP.</w:t>
      </w:r>
    </w:p>
    <w:p>
      <w:pPr>
        <w:spacing w:after="0" w:line="1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ST believes that these non-U.S. GAAP financial measures provide useful information for investors and management because they offer, when read in conjunction with ST’s U.S. GAAP financials, (i) the ability to make more meaningful period-to-period comparisons of ST’s on-going operating results, (ii) the ability to better identify trends in ST’s business and perform related trend analysis, and (iii) to facilitate a comparison of ST’s results of operations against investor and analyst financial models and valuations, which may exclude these items.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u w:val="single" w:color="auto"/>
          <w:color w:val="auto"/>
        </w:rPr>
        <w:t>Non-U.S. GAAP Gross Profit, Non-U.S. GAAP Operating Income, Non-U.S. GAAP Net Income and Non-U.S. GAAP Diluted Earnings Per Share (non-U.S. GAAP measures)</w:t>
      </w:r>
    </w:p>
    <w:p>
      <w:pPr>
        <w:spacing w:after="0" w:line="13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income before impairment, restructuring charges and other related phase-out costs, and other certain items, is used by management to help enhance an understanding of ongoing operations and to communicate the impact of the excluded items, such as impairment, restructuring charges and other related phase-out costs, and Purchase Price Allocation (PPA) effects. Adjusted net earnings and earnings per share (EPS) are used by management to help enhance an understanding of ongoing operations and to communicate the impact of the excluded items like impairment, restructuring charges and other related phase-out costs and other certain items, such as Purchase Price Allocation (PPA) effects, net of the relevant tax impact.</w:t>
      </w:r>
    </w:p>
    <w:p>
      <w:pPr>
        <w:spacing w:after="0" w:line="154" w:lineRule="exact"/>
        <w:rPr>
          <w:sz w:val="20"/>
          <w:szCs w:val="20"/>
          <w:color w:val="auto"/>
        </w:rPr>
      </w:pPr>
    </w:p>
    <w:tbl>
      <w:tblPr>
        <w:tblLayout w:type="fixed"/>
        <w:tblInd w:w="30" w:type="dxa"/>
        <w:tblCellMar>
          <w:top w:w="0" w:type="dxa"/>
          <w:left w:w="0" w:type="dxa"/>
          <w:bottom w:w="0" w:type="dxa"/>
          <w:right w:w="0" w:type="dxa"/>
        </w:tblCellMar>
      </w:tblPr>
      <w:tr>
        <w:trPr>
          <w:trHeight w:val="251"/>
        </w:trPr>
        <w:tc>
          <w:tcPr>
            <w:tcW w:w="4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Q1 2026</w:t>
            </w:r>
          </w:p>
        </w:tc>
        <w:tc>
          <w:tcPr>
            <w:tcW w:w="142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Operating</w:t>
            </w:r>
          </w:p>
        </w:tc>
        <w:tc>
          <w:tcPr>
            <w:tcW w:w="14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Net Income</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Corresponding</w:t>
            </w:r>
          </w:p>
        </w:tc>
        <w:tc>
          <w:tcPr>
            <w:tcW w:w="0" w:type="dxa"/>
            <w:vAlign w:val="bottom"/>
          </w:tcPr>
          <w:p>
            <w:pPr>
              <w:spacing w:after="0"/>
              <w:rPr>
                <w:sz w:val="1"/>
                <w:szCs w:val="1"/>
                <w:color w:val="auto"/>
              </w:rPr>
            </w:pPr>
          </w:p>
        </w:tc>
      </w:tr>
      <w:tr>
        <w:trPr>
          <w:trHeight w:val="139"/>
        </w:trPr>
        <w:tc>
          <w:tcPr>
            <w:tcW w:w="4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(US$ m, except per share data)</w:t>
            </w: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Income</w:t>
            </w: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Diluted EPS</w:t>
            </w:r>
          </w:p>
        </w:tc>
        <w:tc>
          <w:tcPr>
            <w:tcW w:w="0" w:type="dxa"/>
            <w:vAlign w:val="bottom"/>
          </w:tcPr>
          <w:p>
            <w:pPr>
              <w:spacing w:after="0"/>
              <w:rPr>
                <w:sz w:val="1"/>
                <w:szCs w:val="1"/>
                <w:color w:val="auto"/>
              </w:rPr>
            </w:pPr>
          </w:p>
        </w:tc>
      </w:tr>
      <w:tr>
        <w:trPr>
          <w:trHeight w:val="96"/>
        </w:trPr>
        <w:tc>
          <w:tcPr>
            <w:tcW w:w="4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U.S. GAAP</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1,045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0.04</w:t>
            </w:r>
          </w:p>
        </w:tc>
        <w:tc>
          <w:tcPr>
            <w:tcW w:w="0" w:type="dxa"/>
            <w:vAlign w:val="bottom"/>
          </w:tcPr>
          <w:p>
            <w:pPr>
              <w:spacing w:after="0"/>
              <w:rPr>
                <w:sz w:val="1"/>
                <w:szCs w:val="1"/>
                <w:color w:val="auto"/>
              </w:rPr>
            </w:pPr>
          </w:p>
        </w:tc>
      </w:tr>
      <w:tr>
        <w:trPr>
          <w:trHeight w:val="42"/>
        </w:trPr>
        <w:tc>
          <w:tcPr>
            <w:tcW w:w="404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Impairment, restructuring charges and other</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71</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71</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related phase-out costs</w:t>
            </w: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PPA effects of NXP’s MEMS sensor business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11</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30</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30</w:t>
            </w: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acquisition</w:t>
            </w: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Estimated income tax effect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04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Non-U.S. GAAP</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1,056</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171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bl>
    <w:p>
      <w:pPr>
        <w:sectPr>
          <w:pgSz w:w="11900" w:h="16838" w:orient="portrait"/>
          <w:cols w:equalWidth="0" w:num="1">
            <w:col w:w="9780"/>
          </w:cols>
          <w:pgMar w:left="1260" w:top="151" w:right="859" w:bottom="379" w:gutter="0" w:footer="0" w:header="0"/>
        </w:sectPr>
      </w:pPr>
    </w:p>
    <w:bookmarkStart w:id="11" w:name="page12"/>
    <w:bookmarkEnd w:id="11"/>
    <w:p>
      <w:pPr>
        <w:jc w:val="center"/>
        <w:ind w:right="298"/>
        <w:spacing w:after="0"/>
        <w:rPr>
          <w:sz w:val="20"/>
          <w:szCs w:val="20"/>
          <w:color w:val="auto"/>
        </w:rPr>
      </w:pPr>
      <w:r>
        <w:rPr>
          <w:rFonts w:ascii="Arial" w:cs="Arial" w:eastAsia="Arial" w:hAnsi="Arial"/>
          <w:sz w:val="17"/>
          <w:szCs w:val="17"/>
          <w:color w:val="002052"/>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12</w:t>
      </w:r>
    </w:p>
    <w:p>
      <w:pPr>
        <w:sectPr>
          <w:pgSz w:w="11900" w:h="16838" w:orient="portrait"/>
          <w:cols w:equalWidth="0" w:num="1">
            <w:col w:w="9702"/>
          </w:cols>
          <w:pgMar w:left="1258" w:top="647" w:right="939" w:bottom="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8"/>
        <w:spacing w:after="0"/>
        <w:rPr>
          <w:sz w:val="20"/>
          <w:szCs w:val="20"/>
          <w:color w:val="auto"/>
        </w:rPr>
      </w:pPr>
      <w:r>
        <w:rPr>
          <w:rFonts w:ascii="Arial" w:cs="Arial" w:eastAsia="Arial" w:hAnsi="Arial"/>
          <w:sz w:val="18"/>
          <w:szCs w:val="18"/>
          <w:b w:val="1"/>
          <w:bCs w:val="1"/>
          <w:color w:val="auto"/>
        </w:rPr>
        <w:t>(Appendix – continued)</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Net Financial Position and Adjusted Net Financial Position (non-U.S. GAAP measures)</w:t>
      </w:r>
    </w:p>
    <w:p>
      <w:pPr>
        <w:spacing w:after="0" w:line="225" w:lineRule="exact"/>
        <w:rPr>
          <w:sz w:val="20"/>
          <w:szCs w:val="20"/>
          <w:color w:val="auto"/>
        </w:rPr>
      </w:pPr>
    </w:p>
    <w:p>
      <w:pPr>
        <w:ind w:left="2" w:right="40"/>
        <w:spacing w:after="0" w:line="257" w:lineRule="auto"/>
        <w:rPr>
          <w:sz w:val="20"/>
          <w:szCs w:val="20"/>
          <w:color w:val="auto"/>
        </w:rPr>
      </w:pPr>
      <w:r>
        <w:rPr>
          <w:rFonts w:ascii="Arial" w:cs="Arial" w:eastAsia="Arial" w:hAnsi="Arial"/>
          <w:sz w:val="18"/>
          <w:szCs w:val="18"/>
          <w:color w:val="auto"/>
        </w:rPr>
        <w:t>Net Financial Position, a non-U.S. GAAP measure, represents the difference between our total liquidity and our total financial debt. Our total liquidity includes cash and cash equivalents, restricted cash, if any, short-term deposits, and marketable securities, and our total financial debt includes short-term debt and long-term debt, as reported in our Consolidated Balance Sheets. ST also presents adjusted net financial position as a non-U.S. GAAP measure, to take into consideration the effect on total liquidity of advances received on capital grants for which capital expenditures have not been incurred yet.</w:t>
      </w:r>
    </w:p>
    <w:p>
      <w:pPr>
        <w:spacing w:after="0" w:line="182" w:lineRule="exact"/>
        <w:rPr>
          <w:sz w:val="20"/>
          <w:szCs w:val="20"/>
          <w:color w:val="auto"/>
        </w:rPr>
      </w:pPr>
    </w:p>
    <w:p>
      <w:pPr>
        <w:ind w:left="2" w:right="240"/>
        <w:spacing w:after="0" w:line="278" w:lineRule="auto"/>
        <w:rPr>
          <w:sz w:val="20"/>
          <w:szCs w:val="20"/>
          <w:color w:val="auto"/>
        </w:rPr>
      </w:pPr>
      <w:r>
        <w:rPr>
          <w:rFonts w:ascii="Arial" w:cs="Arial" w:eastAsia="Arial" w:hAnsi="Arial"/>
          <w:sz w:val="17"/>
          <w:szCs w:val="17"/>
          <w:color w:val="auto"/>
        </w:rPr>
        <w:t>ST believes its Net Financial Position and Adjusted Net Financial Position provide useful information for investors and management because they give evidence of our global position either in terms of net indebtedness or net cash by measuring our capital resources based on cash and cash equivalents, restricted cash, if any, short-term deposits and marketable securities and the total level of our financial debt. Our definitions of Net Financial Position and Adjusted Net Financial Position may differ from definitions used by other companies, and therefore, comparability may be limited.</w:t>
      </w:r>
    </w:p>
    <w:p>
      <w:pPr>
        <w:spacing w:after="0" w:line="353" w:lineRule="exact"/>
        <w:rPr>
          <w:sz w:val="20"/>
          <w:szCs w:val="20"/>
          <w:color w:val="auto"/>
        </w:rPr>
      </w:pPr>
    </w:p>
    <w:tbl>
      <w:tblPr>
        <w:tblLayout w:type="fixed"/>
        <w:tblInd w:w="22" w:type="dxa"/>
        <w:tblCellMar>
          <w:top w:w="0" w:type="dxa"/>
          <w:left w:w="0" w:type="dxa"/>
          <w:bottom w:w="0" w:type="dxa"/>
          <w:right w:w="0" w:type="dxa"/>
        </w:tblCellMar>
      </w:tblPr>
      <w:tr>
        <w:trPr>
          <w:trHeight w:val="216"/>
        </w:trPr>
        <w:tc>
          <w:tcPr>
            <w:tcW w:w="4700" w:type="dxa"/>
            <w:vAlign w:val="bottom"/>
            <w:vMerge w:val="restart"/>
          </w:tcPr>
          <w:p>
            <w:pPr>
              <w:ind w:left="120"/>
              <w:spacing w:after="0"/>
              <w:rPr>
                <w:sz w:val="20"/>
                <w:szCs w:val="20"/>
                <w:color w:val="auto"/>
              </w:rPr>
            </w:pPr>
            <w:r>
              <w:rPr>
                <w:rFonts w:ascii="Arial" w:cs="Arial" w:eastAsia="Arial" w:hAnsi="Arial"/>
                <w:sz w:val="18"/>
                <w:szCs w:val="18"/>
                <w:color w:val="auto"/>
              </w:rPr>
              <w:t>(US$ m)</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28</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 31</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Sep 27</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Jun 28</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Mar 29</w:t>
            </w:r>
          </w:p>
        </w:tc>
        <w:tc>
          <w:tcPr>
            <w:tcW w:w="0" w:type="dxa"/>
            <w:vAlign w:val="bottom"/>
          </w:tcPr>
          <w:p>
            <w:pPr>
              <w:spacing w:after="0"/>
              <w:rPr>
                <w:sz w:val="1"/>
                <w:szCs w:val="1"/>
                <w:color w:val="auto"/>
              </w:rPr>
            </w:pPr>
          </w:p>
        </w:tc>
      </w:tr>
      <w:tr>
        <w:trPr>
          <w:trHeight w:val="144"/>
        </w:trPr>
        <w:tc>
          <w:tcPr>
            <w:tcW w:w="4700" w:type="dxa"/>
            <w:vAlign w:val="bottom"/>
            <w:vMerge w:val="continue"/>
          </w:tcPr>
          <w:p>
            <w:pPr>
              <w:spacing w:after="0"/>
              <w:rPr>
                <w:sz w:val="12"/>
                <w:szCs w:val="12"/>
                <w:color w:val="auto"/>
              </w:rPr>
            </w:pPr>
          </w:p>
        </w:tc>
        <w:tc>
          <w:tcPr>
            <w:tcW w:w="12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2026</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04"/>
        </w:trPr>
        <w:tc>
          <w:tcPr>
            <w:tcW w:w="47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47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1,889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2,837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1,999</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1,616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37"/>
        </w:trPr>
        <w:tc>
          <w:tcPr>
            <w:tcW w:w="4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700" w:type="dxa"/>
            <w:vAlign w:val="bottom"/>
          </w:tcPr>
          <w:p>
            <w:pPr>
              <w:ind w:left="120"/>
              <w:spacing w:after="0"/>
              <w:rPr>
                <w:sz w:val="20"/>
                <w:szCs w:val="20"/>
                <w:color w:val="auto"/>
              </w:rPr>
            </w:pPr>
            <w:r>
              <w:rPr>
                <w:rFonts w:ascii="Arial" w:cs="Arial" w:eastAsia="Arial" w:hAnsi="Arial"/>
                <w:sz w:val="18"/>
                <w:szCs w:val="18"/>
                <w:color w:val="auto"/>
              </w:rPr>
              <w:t>Short term deposits</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1,850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1,100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1,450</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37"/>
        </w:trPr>
        <w:tc>
          <w:tcPr>
            <w:tcW w:w="4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7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832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985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1,327</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2,363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37"/>
        </w:trPr>
        <w:tc>
          <w:tcPr>
            <w:tcW w:w="4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Total liquidity </w:t>
            </w:r>
            <w:r>
              <w:rPr>
                <w:rFonts w:ascii="Arial" w:cs="Arial" w:eastAsia="Arial" w:hAnsi="Arial"/>
                <w:sz w:val="23"/>
                <w:szCs w:val="23"/>
                <w:i w:val="1"/>
                <w:iCs w:val="1"/>
                <w:color w:val="auto"/>
                <w:vertAlign w:val="superscript"/>
              </w:rPr>
              <w:t>(a)</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4,571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4,922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4,776</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5,629</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5,959</w:t>
            </w:r>
          </w:p>
        </w:tc>
        <w:tc>
          <w:tcPr>
            <w:tcW w:w="0" w:type="dxa"/>
            <w:vAlign w:val="bottom"/>
          </w:tcPr>
          <w:p>
            <w:pPr>
              <w:spacing w:after="0"/>
              <w:rPr>
                <w:sz w:val="1"/>
                <w:szCs w:val="1"/>
                <w:color w:val="auto"/>
              </w:rPr>
            </w:pPr>
          </w:p>
        </w:tc>
      </w:tr>
      <w:tr>
        <w:trPr>
          <w:trHeight w:val="240"/>
        </w:trPr>
        <w:tc>
          <w:tcPr>
            <w:tcW w:w="4700" w:type="dxa"/>
            <w:vAlign w:val="bottom"/>
          </w:tcPr>
          <w:p>
            <w:pPr>
              <w:ind w:left="120"/>
              <w:spacing w:after="0"/>
              <w:rPr>
                <w:sz w:val="20"/>
                <w:szCs w:val="20"/>
                <w:color w:val="auto"/>
              </w:rPr>
            </w:pPr>
            <w:r>
              <w:rPr>
                <w:rFonts w:ascii="Arial" w:cs="Arial" w:eastAsia="Arial" w:hAnsi="Arial"/>
                <w:sz w:val="18"/>
                <w:szCs w:val="18"/>
                <w:color w:val="auto"/>
              </w:rPr>
              <w:t>Short-term debt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(298)</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(256)</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(1,006)</w:t>
            </w: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50"/>
        </w:trPr>
        <w:tc>
          <w:tcPr>
            <w:tcW w:w="4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i w:val="1"/>
                <w:iCs w:val="1"/>
                <w:color w:val="auto"/>
                <w:vertAlign w:val="superscript"/>
              </w:rPr>
              <w:t>(b)</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(2,250)</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(1,835)</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(1,910)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Arial" w:cs="Arial" w:eastAsia="Arial" w:hAnsi="Arial"/>
                <w:sz w:val="18"/>
                <w:szCs w:val="18"/>
                <w:b w:val="1"/>
                <w:bCs w:val="1"/>
                <w:color w:val="auto"/>
              </w:rPr>
              <w:t>Total financial debt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(2,569)</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(2,133)</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(2,166)</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(2,957)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(2,877)</w:t>
            </w:r>
          </w:p>
        </w:tc>
        <w:tc>
          <w:tcPr>
            <w:tcW w:w="0" w:type="dxa"/>
            <w:vAlign w:val="bottom"/>
          </w:tcPr>
          <w:p>
            <w:pPr>
              <w:spacing w:after="0"/>
              <w:rPr>
                <w:sz w:val="1"/>
                <w:szCs w:val="1"/>
                <w:color w:val="auto"/>
              </w:rPr>
            </w:pPr>
          </w:p>
        </w:tc>
      </w:tr>
      <w:tr>
        <w:trPr>
          <w:trHeight w:val="42"/>
        </w:trPr>
        <w:tc>
          <w:tcPr>
            <w:tcW w:w="4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120"/>
              <w:spacing w:after="0"/>
              <w:rPr>
                <w:sz w:val="20"/>
                <w:szCs w:val="20"/>
                <w:color w:val="auto"/>
              </w:rPr>
            </w:pPr>
            <w:r>
              <w:rPr>
                <w:rFonts w:ascii="Arial" w:cs="Arial" w:eastAsia="Arial" w:hAnsi="Arial"/>
                <w:sz w:val="18"/>
                <w:szCs w:val="18"/>
                <w:b w:val="1"/>
                <w:bCs w:val="1"/>
                <w:color w:val="auto"/>
              </w:rPr>
              <w:t>Net Financial Position (non-U.S. GAAP)</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2,002</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2,789</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2,610</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2,672</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3,082</w:t>
            </w:r>
          </w:p>
        </w:tc>
        <w:tc>
          <w:tcPr>
            <w:tcW w:w="0" w:type="dxa"/>
            <w:vAlign w:val="bottom"/>
          </w:tcPr>
          <w:p>
            <w:pPr>
              <w:spacing w:after="0"/>
              <w:rPr>
                <w:sz w:val="1"/>
                <w:szCs w:val="1"/>
                <w:color w:val="auto"/>
              </w:rPr>
            </w:pPr>
          </w:p>
        </w:tc>
      </w:tr>
      <w:tr>
        <w:trPr>
          <w:trHeight w:val="29"/>
        </w:trPr>
        <w:tc>
          <w:tcPr>
            <w:tcW w:w="4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120"/>
              <w:spacing w:after="0"/>
              <w:rPr>
                <w:sz w:val="20"/>
                <w:szCs w:val="20"/>
                <w:color w:val="auto"/>
              </w:rPr>
            </w:pPr>
            <w:r>
              <w:rPr>
                <w:rFonts w:ascii="Arial" w:cs="Arial" w:eastAsia="Arial" w:hAnsi="Arial"/>
                <w:sz w:val="18"/>
                <w:szCs w:val="18"/>
                <w:color w:val="auto"/>
              </w:rPr>
              <w:t>Advances received on capital grants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(333)</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(361)</w:t>
            </w:r>
          </w:p>
        </w:tc>
        <w:tc>
          <w:tcPr>
            <w:tcW w:w="86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50"/>
        </w:trPr>
        <w:tc>
          <w:tcPr>
            <w:tcW w:w="4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700" w:type="dxa"/>
            <w:vAlign w:val="bottom"/>
          </w:tcPr>
          <w:p>
            <w:pPr>
              <w:ind w:left="120"/>
              <w:spacing w:after="0"/>
              <w:rPr>
                <w:sz w:val="20"/>
                <w:szCs w:val="20"/>
                <w:color w:val="auto"/>
              </w:rPr>
            </w:pPr>
            <w:r>
              <w:rPr>
                <w:rFonts w:ascii="Arial" w:cs="Arial" w:eastAsia="Arial" w:hAnsi="Arial"/>
                <w:sz w:val="18"/>
                <w:szCs w:val="18"/>
                <w:b w:val="1"/>
                <w:bCs w:val="1"/>
                <w:color w:val="auto"/>
              </w:rPr>
              <w:t>Adjusted Net Financial Position (non-U.S. GAAP)</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1,686</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2,456</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2,265</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2,311</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2,705</w:t>
            </w:r>
          </w:p>
        </w:tc>
        <w:tc>
          <w:tcPr>
            <w:tcW w:w="0" w:type="dxa"/>
            <w:vAlign w:val="bottom"/>
          </w:tcPr>
          <w:p>
            <w:pPr>
              <w:spacing w:after="0"/>
              <w:rPr>
                <w:sz w:val="1"/>
                <w:szCs w:val="1"/>
                <w:color w:val="auto"/>
              </w:rPr>
            </w:pPr>
          </w:p>
        </w:tc>
      </w:tr>
    </w:tbl>
    <w:p>
      <w:pPr>
        <w:ind w:left="182" w:right="220" w:hanging="182"/>
        <w:spacing w:after="0" w:line="261" w:lineRule="auto"/>
        <w:tabs>
          <w:tab w:leader="none" w:pos="182"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Total liquidity decreased from $4.92 billion in the fourth quarter of 2025 to $4.57 billion in the first quarter of 2026, after the cash-out of $895 million related to the acquisition of NXP MEMS sensor business. Total liquidity decreased from $5.63 billion in the second quarter of 2025 to $4.78 billion in the third quarter of 2025, the decrease includes $750 million related to the repayment of the first tranche of our convertible bond.</w:t>
      </w:r>
    </w:p>
    <w:p>
      <w:pPr>
        <w:spacing w:after="0" w:line="1" w:lineRule="exact"/>
        <w:rPr>
          <w:rFonts w:ascii="Arial" w:cs="Arial" w:eastAsia="Arial" w:hAnsi="Arial"/>
          <w:sz w:val="9"/>
          <w:szCs w:val="9"/>
          <w:i w:val="1"/>
          <w:iCs w:val="1"/>
          <w:color w:val="auto"/>
        </w:rPr>
      </w:pPr>
    </w:p>
    <w:p>
      <w:pPr>
        <w:ind w:left="182" w:right="220" w:hanging="182"/>
        <w:spacing w:after="0" w:line="265" w:lineRule="auto"/>
        <w:tabs>
          <w:tab w:leader="none" w:pos="182"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Long-term debt contains standard conditions but does not impose minimum financial ratios. Committed credit facilities for $1,210 million equivalent are currently undrawn. As of March 28, 2026, total financial debt included $590 million long-term debt following the withdrawal of the €500 million first tranche of the new EIB credit line.</w:t>
      </w:r>
    </w:p>
    <w:p>
      <w:pPr>
        <w:sectPr>
          <w:pgSz w:w="11900" w:h="16838" w:orient="portrait"/>
          <w:cols w:equalWidth="0" w:num="1">
            <w:col w:w="9702"/>
          </w:cols>
          <w:pgMar w:left="1258" w:top="647" w:right="939" w:bottom="1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002052"/>
        </w:rPr>
        <w:t>13</w:t>
      </w:r>
    </w:p>
    <w:p>
      <w:pPr>
        <w:sectPr>
          <w:pgSz w:w="11900" w:h="16838" w:orient="portrait"/>
          <w:cols w:equalWidth="0" w:num="1">
            <w:col w:w="9702"/>
          </w:cols>
          <w:pgMar w:left="1258" w:top="647" w:right="939" w:bottom="122" w:gutter="0" w:footer="0" w:header="0"/>
          <w:type w:val="continuous"/>
        </w:sectPr>
      </w:pPr>
    </w:p>
    <w:bookmarkStart w:id="12" w:name="page13"/>
    <w:bookmarkEnd w:id="1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682"/>
        <w:spacing w:after="0"/>
        <w:rPr>
          <w:sz w:val="20"/>
          <w:szCs w:val="20"/>
          <w:color w:val="auto"/>
        </w:rPr>
      </w:pPr>
      <w:r>
        <w:rPr>
          <w:rFonts w:ascii="Arial" w:cs="Arial" w:eastAsia="Arial" w:hAnsi="Arial"/>
          <w:sz w:val="18"/>
          <w:szCs w:val="18"/>
          <w:b w:val="1"/>
          <w:bCs w:val="1"/>
          <w:color w:val="auto"/>
        </w:rPr>
        <w:t>(Appendix – continued)</w:t>
      </w:r>
    </w:p>
    <w:p>
      <w:pPr>
        <w:spacing w:after="0" w:line="252"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Net Capex and Free Cash Flow (non-U.S. GAAP measures)</w:t>
      </w:r>
    </w:p>
    <w:p>
      <w:pPr>
        <w:spacing w:after="0" w:line="225" w:lineRule="exact"/>
        <w:rPr>
          <w:sz w:val="20"/>
          <w:szCs w:val="20"/>
          <w:color w:val="auto"/>
        </w:rPr>
      </w:pPr>
    </w:p>
    <w:p>
      <w:pPr>
        <w:ind w:left="2" w:right="120"/>
        <w:spacing w:after="0" w:line="268" w:lineRule="auto"/>
        <w:rPr>
          <w:sz w:val="20"/>
          <w:szCs w:val="20"/>
          <w:color w:val="auto"/>
        </w:rPr>
      </w:pPr>
      <w:r>
        <w:rPr>
          <w:rFonts w:ascii="Arial" w:cs="Arial" w:eastAsia="Arial" w:hAnsi="Arial"/>
          <w:sz w:val="18"/>
          <w:szCs w:val="18"/>
          <w:color w:val="auto"/>
        </w:rPr>
        <w:t>ST presents Net Capex as a non-U.S. GAAP measure, which is reported as part of our Free Cash Flow (non-U.S. GAAP measure), to take into consideration the effect of advances from capital grants received on prior periods allocated to property, plant and equipment in the reporting period.</w:t>
      </w:r>
    </w:p>
    <w:p>
      <w:pPr>
        <w:spacing w:after="0" w:line="171" w:lineRule="exact"/>
        <w:rPr>
          <w:sz w:val="20"/>
          <w:szCs w:val="20"/>
          <w:color w:val="auto"/>
        </w:rPr>
      </w:pPr>
    </w:p>
    <w:p>
      <w:pPr>
        <w:ind w:left="2" w:right="380"/>
        <w:spacing w:after="0" w:line="268" w:lineRule="auto"/>
        <w:rPr>
          <w:sz w:val="20"/>
          <w:szCs w:val="20"/>
          <w:color w:val="auto"/>
        </w:rPr>
      </w:pPr>
      <w:r>
        <w:rPr>
          <w:rFonts w:ascii="Arial" w:cs="Arial" w:eastAsia="Arial" w:hAnsi="Arial"/>
          <w:sz w:val="18"/>
          <w:szCs w:val="18"/>
          <w:color w:val="auto"/>
        </w:rPr>
        <w:t>Net Capex, a non-U.S. GAAP measure, is defined as (i) Payment for purchase of tangible assets, as reported plus (ii) Proceeds from sale of tangible assets, as reported plus (iii) Proceeds from capital grants and other contributions, as reported plus (iv) Advances from capital grants allocated to property, plant and equipment in the reporting period.</w:t>
      </w:r>
    </w:p>
    <w:p>
      <w:pPr>
        <w:spacing w:after="0" w:line="171" w:lineRule="exact"/>
        <w:rPr>
          <w:sz w:val="20"/>
          <w:szCs w:val="20"/>
          <w:color w:val="auto"/>
        </w:rPr>
      </w:pPr>
    </w:p>
    <w:p>
      <w:pPr>
        <w:ind w:left="2" w:right="200"/>
        <w:spacing w:after="0" w:line="268" w:lineRule="auto"/>
        <w:rPr>
          <w:sz w:val="20"/>
          <w:szCs w:val="20"/>
          <w:color w:val="auto"/>
        </w:rPr>
      </w:pPr>
      <w:r>
        <w:rPr>
          <w:rFonts w:ascii="Arial" w:cs="Arial" w:eastAsia="Arial" w:hAnsi="Arial"/>
          <w:sz w:val="18"/>
          <w:szCs w:val="18"/>
          <w:color w:val="auto"/>
        </w:rPr>
        <w:t>ST believes Net Capex provides useful information for investors and management because annual capital expenditures budget includes the effect of capital grants. Our definition of Net Capex may differ from definitions used by other companies.</w:t>
      </w:r>
    </w:p>
    <w:p>
      <w:pPr>
        <w:spacing w:after="0" w:line="358"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612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(US$ m)</w:t>
            </w:r>
          </w:p>
        </w:tc>
        <w:tc>
          <w:tcPr>
            <w:tcW w:w="7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Q1</w:t>
            </w:r>
          </w:p>
        </w:tc>
        <w:tc>
          <w:tcPr>
            <w:tcW w:w="7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Q4</w:t>
            </w:r>
          </w:p>
        </w:tc>
        <w:tc>
          <w:tcPr>
            <w:tcW w:w="7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Q3</w:t>
            </w:r>
          </w:p>
        </w:tc>
        <w:tc>
          <w:tcPr>
            <w:tcW w:w="7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Q2</w:t>
            </w:r>
          </w:p>
        </w:tc>
        <w:tc>
          <w:tcPr>
            <w:tcW w:w="72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Q1</w:t>
            </w:r>
          </w:p>
        </w:tc>
        <w:tc>
          <w:tcPr>
            <w:tcW w:w="0" w:type="dxa"/>
            <w:vAlign w:val="bottom"/>
          </w:tcPr>
          <w:p>
            <w:pPr>
              <w:spacing w:after="0"/>
              <w:rPr>
                <w:sz w:val="1"/>
                <w:szCs w:val="1"/>
                <w:color w:val="auto"/>
              </w:rPr>
            </w:pPr>
          </w:p>
        </w:tc>
      </w:tr>
      <w:tr>
        <w:trPr>
          <w:trHeight w:val="144"/>
        </w:trPr>
        <w:tc>
          <w:tcPr>
            <w:tcW w:w="612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2026</w:t>
            </w:r>
          </w:p>
        </w:tc>
        <w:tc>
          <w:tcPr>
            <w:tcW w:w="7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04"/>
        </w:trPr>
        <w:tc>
          <w:tcPr>
            <w:tcW w:w="6120" w:type="dxa"/>
            <w:vAlign w:val="bottom"/>
            <w:tcBorders>
              <w:left w:val="single" w:sz="8" w:color="auto"/>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700" w:type="dxa"/>
            <w:vAlign w:val="bottom"/>
            <w:tcBorders>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6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Payment for purchase of tangible assets, as reported</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50"/>
        </w:trPr>
        <w:tc>
          <w:tcPr>
            <w:tcW w:w="6120" w:type="dxa"/>
            <w:vAlign w:val="bottom"/>
            <w:tcBorders>
              <w:left w:val="single" w:sz="8" w:color="auto"/>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6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Proceeds from sale of tangible assets, as reported</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6"/>
        </w:trPr>
        <w:tc>
          <w:tcPr>
            <w:tcW w:w="6120" w:type="dxa"/>
            <w:vAlign w:val="bottom"/>
            <w:tcBorders>
              <w:left w:val="single" w:sz="8" w:color="auto"/>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Proceeds from capital grants and other contributions, as reported</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7"/>
        </w:trPr>
        <w:tc>
          <w:tcPr>
            <w:tcW w:w="6120" w:type="dxa"/>
            <w:vAlign w:val="bottom"/>
            <w:tcBorders>
              <w:left w:val="single" w:sz="8" w:color="auto"/>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Advances from capital grants allocated to property, plant and equipment</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7"/>
        </w:trPr>
        <w:tc>
          <w:tcPr>
            <w:tcW w:w="6120" w:type="dxa"/>
            <w:vAlign w:val="bottom"/>
            <w:tcBorders>
              <w:left w:val="single" w:sz="8" w:color="auto"/>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Net Capex (non-U.S. GAAP)</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(362)</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 w:right="260"/>
        <w:spacing w:after="0" w:line="268" w:lineRule="auto"/>
        <w:rPr>
          <w:sz w:val="20"/>
          <w:szCs w:val="20"/>
          <w:color w:val="auto"/>
        </w:rPr>
      </w:pPr>
      <w:r>
        <w:rPr>
          <w:rFonts w:ascii="Arial" w:cs="Arial" w:eastAsia="Arial" w:hAnsi="Arial"/>
          <w:sz w:val="18"/>
          <w:szCs w:val="18"/>
          <w:color w:val="auto"/>
        </w:rPr>
        <w:t>Free Cash Flow, which is a non-U.S. GAAP measure, is defined as (i) net cash from operating activities plus (ii) Net Capex plus (iii) payment for purchase (and proceeds from sale) of intangible and financial assets and (iv) net cash paid for business acquisitions, if any.</w:t>
      </w:r>
    </w:p>
    <w:p>
      <w:pPr>
        <w:spacing w:after="0" w:line="171" w:lineRule="exact"/>
        <w:rPr>
          <w:sz w:val="20"/>
          <w:szCs w:val="20"/>
          <w:color w:val="auto"/>
        </w:rPr>
      </w:pPr>
    </w:p>
    <w:p>
      <w:pPr>
        <w:ind w:left="2" w:right="40"/>
        <w:spacing w:after="0" w:line="287" w:lineRule="auto"/>
        <w:rPr>
          <w:sz w:val="20"/>
          <w:szCs w:val="20"/>
          <w:color w:val="auto"/>
        </w:rPr>
      </w:pPr>
      <w:r>
        <w:rPr>
          <w:rFonts w:ascii="Arial" w:cs="Arial" w:eastAsia="Arial" w:hAnsi="Arial"/>
          <w:sz w:val="18"/>
          <w:szCs w:val="18"/>
          <w:color w:val="auto"/>
        </w:rPr>
        <w:t>ST believes Free Cash Flow provides useful information for investors and management because it measures our capacity to generate cash from our operating and investing activities to sustain our operations.</w:t>
      </w:r>
    </w:p>
    <w:p>
      <w:pPr>
        <w:spacing w:after="0" w:line="153" w:lineRule="exact"/>
        <w:rPr>
          <w:sz w:val="20"/>
          <w:szCs w:val="20"/>
          <w:color w:val="auto"/>
        </w:rPr>
      </w:pPr>
    </w:p>
    <w:p>
      <w:pPr>
        <w:ind w:left="2"/>
        <w:spacing w:after="0" w:line="259" w:lineRule="auto"/>
        <w:rPr>
          <w:sz w:val="20"/>
          <w:szCs w:val="20"/>
          <w:color w:val="auto"/>
        </w:rPr>
      </w:pPr>
      <w:r>
        <w:rPr>
          <w:rFonts w:ascii="Arial" w:cs="Arial" w:eastAsia="Arial" w:hAnsi="Arial"/>
          <w:sz w:val="18"/>
          <w:szCs w:val="18"/>
          <w:color w:val="auto"/>
        </w:rPr>
        <w:t>Free Cash Flow reconciles with the total cash flow and the net cash increase (decrease) by including the payment for purchases of (and proceeds from matured) marketable securities and net investment in (and proceeds from) short-term deposits, the net cash from (used in) financing activities and the effect of changes in exchange rates, and by excluding the advances from capital grants received on prior periods allocated to property, plant and equipment in the reporting period. Our definition of Free Cash Flow may differ from definitions used by other companies.</w:t>
      </w:r>
    </w:p>
    <w:p>
      <w:pPr>
        <w:spacing w:after="0" w:line="200" w:lineRule="exact"/>
        <w:rPr>
          <w:sz w:val="20"/>
          <w:szCs w:val="20"/>
          <w:color w:val="auto"/>
        </w:rPr>
      </w:pPr>
    </w:p>
    <w:p>
      <w:pPr>
        <w:spacing w:after="0" w:line="209" w:lineRule="exact"/>
        <w:rPr>
          <w:sz w:val="20"/>
          <w:szCs w:val="20"/>
          <w:color w:val="auto"/>
        </w:rPr>
      </w:pPr>
    </w:p>
    <w:tbl>
      <w:tblPr>
        <w:tblLayout w:type="fixed"/>
        <w:tblInd w:w="22" w:type="dxa"/>
        <w:tblCellMar>
          <w:top w:w="0" w:type="dxa"/>
          <w:left w:w="0" w:type="dxa"/>
          <w:bottom w:w="0" w:type="dxa"/>
          <w:right w:w="0" w:type="dxa"/>
        </w:tblCellMar>
      </w:tblPr>
      <w:tr>
        <w:trPr>
          <w:trHeight w:val="216"/>
        </w:trPr>
        <w:tc>
          <w:tcPr>
            <w:tcW w:w="5960" w:type="dxa"/>
            <w:vAlign w:val="bottom"/>
            <w:vMerge w:val="restart"/>
          </w:tcPr>
          <w:p>
            <w:pPr>
              <w:ind w:left="120"/>
              <w:spacing w:after="0"/>
              <w:rPr>
                <w:sz w:val="20"/>
                <w:szCs w:val="20"/>
                <w:color w:val="auto"/>
              </w:rPr>
            </w:pPr>
            <w:r>
              <w:rPr>
                <w:rFonts w:ascii="Arial" w:cs="Arial" w:eastAsia="Arial" w:hAnsi="Arial"/>
                <w:sz w:val="18"/>
                <w:szCs w:val="18"/>
                <w:color w:val="auto"/>
              </w:rPr>
              <w:t>(US$ m)</w:t>
            </w: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Q1</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Q4</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Q3</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Q2</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Q1</w:t>
            </w:r>
          </w:p>
        </w:tc>
        <w:tc>
          <w:tcPr>
            <w:tcW w:w="0" w:type="dxa"/>
            <w:vAlign w:val="bottom"/>
          </w:tcPr>
          <w:p>
            <w:pPr>
              <w:spacing w:after="0"/>
              <w:rPr>
                <w:sz w:val="1"/>
                <w:szCs w:val="1"/>
                <w:color w:val="auto"/>
              </w:rPr>
            </w:pPr>
          </w:p>
        </w:tc>
      </w:tr>
      <w:tr>
        <w:trPr>
          <w:trHeight w:val="144"/>
        </w:trPr>
        <w:tc>
          <w:tcPr>
            <w:tcW w:w="5960" w:type="dxa"/>
            <w:vAlign w:val="bottom"/>
            <w:vMerge w:val="continue"/>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2026</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18"/>
        </w:trPr>
        <w:tc>
          <w:tcPr>
            <w:tcW w:w="5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5960" w:type="dxa"/>
            <w:vAlign w:val="bottom"/>
          </w:tcPr>
          <w:p>
            <w:pPr>
              <w:ind w:left="120"/>
              <w:spacing w:after="0"/>
              <w:rPr>
                <w:sz w:val="20"/>
                <w:szCs w:val="20"/>
                <w:color w:val="auto"/>
              </w:rPr>
            </w:pPr>
            <w:r>
              <w:rPr>
                <w:rFonts w:ascii="Arial" w:cs="Arial" w:eastAsia="Arial" w:hAnsi="Arial"/>
                <w:sz w:val="18"/>
                <w:szCs w:val="18"/>
                <w:color w:val="auto"/>
              </w:rPr>
              <w:t>Net cash from operating activities</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534</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354</w:t>
            </w: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36"/>
        </w:trPr>
        <w:tc>
          <w:tcPr>
            <w:tcW w:w="5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960" w:type="dxa"/>
            <w:vAlign w:val="bottom"/>
          </w:tcPr>
          <w:p>
            <w:pPr>
              <w:ind w:left="120"/>
              <w:spacing w:after="0"/>
              <w:rPr>
                <w:sz w:val="20"/>
                <w:szCs w:val="20"/>
                <w:color w:val="auto"/>
              </w:rPr>
            </w:pPr>
            <w:r>
              <w:rPr>
                <w:rFonts w:ascii="Arial" w:cs="Arial" w:eastAsia="Arial" w:hAnsi="Arial"/>
                <w:sz w:val="18"/>
                <w:szCs w:val="18"/>
                <w:color w:val="auto"/>
              </w:rPr>
              <w:t>Net Capex</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62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50"/>
        </w:trPr>
        <w:tc>
          <w:tcPr>
            <w:tcW w:w="5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120"/>
              <w:spacing w:after="0"/>
              <w:rPr>
                <w:sz w:val="20"/>
                <w:szCs w:val="20"/>
                <w:color w:val="auto"/>
              </w:rPr>
            </w:pPr>
            <w:r>
              <w:rPr>
                <w:rFonts w:ascii="Arial" w:cs="Arial" w:eastAsia="Arial" w:hAnsi="Arial"/>
                <w:sz w:val="18"/>
                <w:szCs w:val="18"/>
                <w:color w:val="auto"/>
              </w:rPr>
              <w:t>Payment for purchase of intangible assets, net of proceeds from sale</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50"/>
        </w:trPr>
        <w:tc>
          <w:tcPr>
            <w:tcW w:w="5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960" w:type="dxa"/>
            <w:vAlign w:val="bottom"/>
          </w:tcPr>
          <w:p>
            <w:pPr>
              <w:ind w:left="120"/>
              <w:spacing w:after="0"/>
              <w:rPr>
                <w:sz w:val="20"/>
                <w:szCs w:val="20"/>
                <w:color w:val="auto"/>
              </w:rPr>
            </w:pPr>
            <w:r>
              <w:rPr>
                <w:rFonts w:ascii="Arial" w:cs="Arial" w:eastAsia="Arial" w:hAnsi="Arial"/>
                <w:sz w:val="18"/>
                <w:szCs w:val="18"/>
                <w:color w:val="auto"/>
              </w:rPr>
              <w:t>Proceeds from (payment for) financial assets</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5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Payment for business acquisitions</w:t>
            </w:r>
            <w:r>
              <w:rPr>
                <w:rFonts w:ascii="Arial" w:cs="Arial" w:eastAsia="Arial" w:hAnsi="Arial"/>
                <w:sz w:val="23"/>
                <w:szCs w:val="23"/>
                <w:color w:val="auto"/>
                <w:vertAlign w:val="superscript"/>
              </w:rPr>
              <w:t>(a)</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96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Free Cash Flow (non-U.S. GAAP)</w:t>
            </w:r>
          </w:p>
        </w:tc>
        <w:tc>
          <w:tcPr>
            <w:tcW w:w="940" w:type="dxa"/>
            <w:vAlign w:val="bottom"/>
          </w:tcPr>
          <w:p>
            <w:pPr>
              <w:jc w:val="right"/>
              <w:ind w:right="10"/>
              <w:spacing w:after="0" w:line="206" w:lineRule="exact"/>
              <w:rPr>
                <w:sz w:val="20"/>
                <w:szCs w:val="20"/>
                <w:color w:val="auto"/>
              </w:rPr>
            </w:pPr>
            <w:r>
              <w:rPr>
                <w:rFonts w:ascii="Arial" w:cs="Arial" w:eastAsia="Arial" w:hAnsi="Arial"/>
                <w:sz w:val="18"/>
                <w:szCs w:val="18"/>
                <w:b w:val="1"/>
                <w:bCs w:val="1"/>
                <w:color w:val="auto"/>
              </w:rPr>
              <w:t>(723)</w:t>
            </w:r>
          </w:p>
        </w:tc>
        <w:tc>
          <w:tcPr>
            <w:tcW w:w="720" w:type="dxa"/>
            <w:vAlign w:val="bottom"/>
          </w:tcPr>
          <w:p>
            <w:pPr>
              <w:jc w:val="right"/>
              <w:ind w:right="70"/>
              <w:spacing w:after="0" w:line="206" w:lineRule="exact"/>
              <w:rPr>
                <w:sz w:val="20"/>
                <w:szCs w:val="20"/>
                <w:color w:val="auto"/>
              </w:rPr>
            </w:pPr>
            <w:r>
              <w:rPr>
                <w:rFonts w:ascii="Arial" w:cs="Arial" w:eastAsia="Arial" w:hAnsi="Arial"/>
                <w:sz w:val="18"/>
                <w:szCs w:val="18"/>
                <w:b w:val="1"/>
                <w:bCs w:val="1"/>
                <w:color w:val="auto"/>
              </w:rPr>
              <w:t>257</w:t>
            </w:r>
          </w:p>
        </w:tc>
        <w:tc>
          <w:tcPr>
            <w:tcW w:w="720" w:type="dxa"/>
            <w:vAlign w:val="bottom"/>
          </w:tcPr>
          <w:p>
            <w:pPr>
              <w:jc w:val="right"/>
              <w:ind w:right="90"/>
              <w:spacing w:after="0" w:line="206" w:lineRule="exact"/>
              <w:rPr>
                <w:sz w:val="20"/>
                <w:szCs w:val="20"/>
                <w:color w:val="auto"/>
              </w:rPr>
            </w:pPr>
            <w:r>
              <w:rPr>
                <w:rFonts w:ascii="Arial" w:cs="Arial" w:eastAsia="Arial" w:hAnsi="Arial"/>
                <w:sz w:val="18"/>
                <w:szCs w:val="18"/>
                <w:b w:val="1"/>
                <w:bCs w:val="1"/>
                <w:color w:val="auto"/>
              </w:rPr>
              <w:t>130</w:t>
            </w:r>
          </w:p>
        </w:tc>
        <w:tc>
          <w:tcPr>
            <w:tcW w:w="720" w:type="dxa"/>
            <w:vAlign w:val="bottom"/>
          </w:tcPr>
          <w:p>
            <w:pPr>
              <w:jc w:val="right"/>
              <w:ind w:right="30"/>
              <w:spacing w:after="0" w:line="206" w:lineRule="exact"/>
              <w:rPr>
                <w:sz w:val="20"/>
                <w:szCs w:val="20"/>
                <w:color w:val="auto"/>
              </w:rPr>
            </w:pPr>
            <w:r>
              <w:rPr>
                <w:rFonts w:ascii="Arial" w:cs="Arial" w:eastAsia="Arial" w:hAnsi="Arial"/>
                <w:sz w:val="18"/>
                <w:szCs w:val="18"/>
                <w:b w:val="1"/>
                <w:bCs w:val="1"/>
                <w:color w:val="auto"/>
              </w:rPr>
              <w:t>(152)</w:t>
            </w:r>
          </w:p>
        </w:tc>
        <w:tc>
          <w:tcPr>
            <w:tcW w:w="6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bl>
    <w:p>
      <w:pPr>
        <w:ind w:left="322" w:hanging="322"/>
        <w:spacing w:after="0" w:line="202" w:lineRule="auto"/>
        <w:tabs>
          <w:tab w:leader="none" w:pos="322"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Q126 Free cash flow includes $895 million cash-out related to the acquisition of NXP MEMS sensor business.</w:t>
      </w:r>
    </w:p>
    <w:p>
      <w:pPr>
        <w:sectPr>
          <w:pgSz w:w="11900" w:h="16838" w:orient="portrait"/>
          <w:cols w:equalWidth="0" w:num="1">
            <w:col w:w="9702"/>
          </w:cols>
          <w:pgMar w:left="1258"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002052"/>
        </w:rPr>
        <w:t>14</w:t>
      </w:r>
    </w:p>
    <w:p>
      <w:pPr>
        <w:sectPr>
          <w:pgSz w:w="11900" w:h="16838" w:orient="portrait"/>
          <w:cols w:equalWidth="0" w:num="1">
            <w:col w:w="9702"/>
          </w:cols>
          <w:pgMar w:left="1258" w:top="1440" w:right="939" w:bottom="1440" w:gutter="0" w:footer="0" w:header="0"/>
          <w:type w:val="continuous"/>
        </w:sectPr>
      </w:pPr>
    </w:p>
    <w:bookmarkStart w:id="13" w:name="page14"/>
    <w:bookmarkEnd w:id="1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0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t>SIGNATURES</w:t>
      </w:r>
    </w:p>
    <w:p>
      <w:pPr>
        <w:spacing w:after="0" w:line="229"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r>
      <w:tr>
        <w:trPr>
          <w:trHeight w:val="41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26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1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color w:val="auto"/>
                <w:highlight w:val="white"/>
                <w:w w:val="98"/>
              </w:rPr>
              <w:t>Lorenzo Grandi</w:t>
            </w:r>
          </w:p>
        </w:tc>
        <w:tc>
          <w:tcPr>
            <w:tcW w:w="880" w:type="dxa"/>
            <w:vAlign w:val="bottom"/>
          </w:tcPr>
          <w:p>
            <w:pPr>
              <w:spacing w:after="0"/>
              <w:rPr>
                <w:sz w:val="24"/>
                <w:szCs w:val="24"/>
                <w:color w:val="auto"/>
              </w:rPr>
            </w:pPr>
          </w:p>
        </w:tc>
      </w:tr>
      <w:tr>
        <w:trPr>
          <w:trHeight w:val="493"/>
        </w:trPr>
        <w:tc>
          <w:tcPr>
            <w:tcW w:w="3440" w:type="dxa"/>
            <w:vAlign w:val="bottom"/>
          </w:tcPr>
          <w:p>
            <w:pPr>
              <w:spacing w:after="0"/>
              <w:rPr>
                <w:sz w:val="24"/>
                <w:szCs w:val="24"/>
                <w:color w:val="auto"/>
              </w:rPr>
            </w:pPr>
          </w:p>
        </w:tc>
        <w:tc>
          <w:tcPr>
            <w:tcW w:w="26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highlight w:val="white"/>
              </w:rPr>
              <w:t>Lorenzo Grandi</w:t>
            </w:r>
          </w:p>
        </w:tc>
      </w:tr>
      <w:tr>
        <w:trPr>
          <w:trHeight w:val="257"/>
        </w:trPr>
        <w:tc>
          <w:tcPr>
            <w:tcW w:w="3440" w:type="dxa"/>
            <w:vAlign w:val="bottom"/>
          </w:tcPr>
          <w:p>
            <w:pPr>
              <w:spacing w:after="0"/>
              <w:rPr>
                <w:sz w:val="22"/>
                <w:szCs w:val="22"/>
                <w:color w:val="auto"/>
              </w:rPr>
            </w:pPr>
          </w:p>
        </w:tc>
        <w:tc>
          <w:tcPr>
            <w:tcW w:w="26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r>
    </w:tbl>
    <w:p>
      <w:pPr>
        <w:spacing w:after="0" w:line="200" w:lineRule="exact"/>
        <w:rPr>
          <w:sz w:val="20"/>
          <w:szCs w:val="20"/>
          <w:color w:val="auto"/>
        </w:rPr>
      </w:pPr>
    </w:p>
    <w:p>
      <w:pPr>
        <w:sectPr>
          <w:pgSz w:w="11900" w:h="16838" w:orient="portrait"/>
          <w:cols w:equalWidth="0" w:num="1">
            <w:col w:w="9099"/>
          </w:cols>
          <w:pgMar w:left="1360" w:top="8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02052"/>
        </w:rPr>
        <w:t>15</w:t>
      </w:r>
    </w:p>
    <w:sectPr>
      <w:pgSz w:w="11900" w:h="16838" w:orient="portrait"/>
      <w:cols w:equalWidth="0" w:num="1">
        <w:col w:w="9099"/>
      </w:cols>
      <w:pgMar w:left="1360" w:top="8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2026-04-23T08:38:55Z</dcterms:created>
  <dcterms:modified xsi:type="dcterms:W3CDTF">2026-04-23T08:38:55Z</dcterms:modified>
</cp:coreProperties>
</file>